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（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>TWA0003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）</w:t>
      </w:r>
      <w:r>
        <w:rPr>
          <w:rFonts w:hint="eastAsia" w:ascii="微软雅黑" w:hAnsi="微软雅黑" w:eastAsia="微软雅黑"/>
          <w:b/>
          <w:bCs/>
          <w:color w:val="FF3399"/>
          <w:sz w:val="24"/>
          <w:szCs w:val="24"/>
        </w:rPr>
        <w:t>台湾环岛7天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行程特色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精致行程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：【故宫博物院】【日月潭游湖】【观光夜市】【太鲁阁公园】【垦丁国家公园】【国父纪念馆】【北回归线】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贴心安排：【日月行馆观景台】【高雄港游船】【鹿港小镇】【玻璃庙】【竹围鱼港】，不计成本，让您了解不一样的台湾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豪华住宿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：全程入住台湾5花酒店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美味餐食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精选台湾各种风味的特色美食，每餐标准不低于台币200元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顶级游览车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全程享用一年内全新豪华欧洲VOLVO富豪旅游大巴，显示您与众不同的尊贵身份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热情服务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优秀的领队及台湾当地顶级导游的全程陪护，专业的讲解，令您感受到不枉此次的台湾之行</w:t>
      </w:r>
    </w:p>
    <w:p>
      <w:pPr>
        <w:rPr>
          <w:rFonts w:hint="eastAsia" w:ascii="宋体" w:hAnsi="宋体" w:cs="宋体"/>
          <w:b/>
          <w:bCs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特产巡礼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精选灵芝、阿里山高山茶、钻石、珊瑚、大理石、精品、免税+土特产；（台湾政府认可正规经营商店）</w:t>
      </w:r>
    </w:p>
    <w:p>
      <w:pPr>
        <w:rPr>
          <w:rFonts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详细行程</w:t>
      </w:r>
    </w:p>
    <w:tbl>
      <w:tblPr>
        <w:tblStyle w:val="1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深圳/香港机场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0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台北桃园机场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eastAsia="zh-CN"/>
              </w:rPr>
              <w:t>参考航班：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深圳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F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台北B7188   19：35/21：25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于指定时间在指定地点集合，在我社专业领队带领下搭乘豪华直航客机飞往美丽的宝岛【台湾】，抵达后办理入境手续，前往酒店入住休息。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台北桃园／故宫博物院／国父纪念馆／鹿港玻璃庙／台中夜市/台中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带您参观闻名中外的【故宫博物院】（约120分钟），馆内珍藏了中华文化的遗产瑰宝，馆藏的主要部分是来自北京故宫以及中央博物院，另外一部分是来台以后的移交、购藏与捐赠。珍贵的中华文物经历战乱迁徙，而流传下来的藏品多是精华，遂有为「中华文化宝库」之誉。前往【国父纪念馆】（约60分钟）参观，巍峨庄严的建筑本体，座落在绿草如茵，花木扶疏的中山公园，成为台北东区一颗璀璨的明星；也为国内的文化艺术带来崭新的面貌。餐后前往【鹿港玻璃庙】（约30分钟）仿清朝鹿港天后宫原貌，结合132家玻璃团队共同打造、使用7万片以上玻璃，可说是全世界独一无二的玻璃庙，还引进太阳能，让玻璃庙白天因阳光位置差异折射出不同光线，并利用太阳能启动LED灯，让玻璃神宫大放光明，挑战世界之最。它不仅是台湾第一座以玻璃为主要建材的庙宇，同时也是一座结合传统技艺与现代科技的艺术中心。不妨到一旁的台湾玻璃馆参观，里头展示的全都是玻璃生活商品及艺品，还有玻璃资讯专区，让玩家除了欣赏玻璃工艺之外，也能了解玻璃製造、加工的相关知识，一举多得。馆中也有玻璃艺术家入驻，看着他们出神入化的玻璃艺品创作技术，更是令人叹为观止。前往台中著名的【夜市】（约60分钟）（晚餐自理），自费品尝台湾地道的著名小吃。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台中／日月潭游湖／日月行馆观景台／灵芝／阿里山天长地久桥／品茶／六合夜市／高雄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【日月潭国家风景区】游览（含游湖）（约90分钟），日月潭是全台最大的淡水湖泊，因潭景雾薄如纱，水波涟涟而得名为『水纱连』。四周群峦迭翠，海拔高748公尺，面积116平方公里，后因湖为光华岛所隔，南形如月弧，北形如日轮，乃改名日月潭。特别安排参观【日月行馆观景台】（约40分钟）日月行馆外观设计采用船桅制作理念，用999纯金金箔打造的“黄金船桅”，成为日月潭畔新地标。观景台拥有挑高60米的透明空中走道，是日月潭唯一可300度一览日月双潭风景的制高点，渴望漫步在日月双潭云端的人们，可尝试挑战60公尺的空中玻璃。续前往【阿里山天长地久桥】（约30分钟），位于阿里山公路起点，分别为两座不同的吊桥，高处的为天长桥，底处为地久桥，两桥横跨八掌溪，兴建于日治昭和12年(公元1937年)，四周景致相当优美，相传来此的情人们若携手共渡二桥，便能天长地久、白头偕老。晚上前往高雄著名的【六合夜市】（约60分钟）（晚餐自理），自费品尝台湾地道的著名小吃。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第四天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高雄／西子湾／高雄港游船／钻石／垦丁国家公园／台东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【西子湾】（约20分钟）是游客观海的最佳去处，更是眺望高雄港最佳位置。特别安排船游【高雄港】（约60分钟）搭上高雄港观光客船，曾名列世界第三大的高雄港区雄风尽收眼底！长度１５公里、来回约1小时的游港路线，由随船导览为您介绍行经的船只与地方故事，可以在最短时间内深入了解港都高雄发展史！抗浪式的船体，载旅客安心游港。熟悉的码头美景正是痞子英雄的诸多取景处，岸上整片建筑大厦组成的都会景象和寿山、旗津渔港、西子湾等，等让您目不暇接。随后乘车前往台湾最西南端的【垦丁国家公园】（约120分钟），垦丁公园地质以珊瑚礁为主，在此可看到裙礁、海崖、海蚀沟等发达的珊瑚礁地形，体验嶙峋澎湃的海岸风光。台湾南端的恒春半岛，岛上有两个著名的岬角，分据东西两方西边的叫做【猫鼻头】，东边的就是台湾岛南部尖端赫赫有名的【鹅銮鼻】，著名的「东亚之光」灯塔就屹立在这里。而后经南回公路前往著名温泉之乡台东，晚上安排入住温泉饭店，享受温泉洗礼（需自备泳衣泳帽及防滑拖鞋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第五天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台东／水往上流／北回归线纪念碑／太鲁阁国家公园／花莲夜市/花莲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沿着花东海岸线公路，参观【水往上流】（约20分钟），【北回归线纪念碑】（约20分钟）沿途欣赏东部优美风景。抵达花莲后参观台湾最著名的【太鲁阁国家公园】（约90分钟）奇岩怪石，尖峰绝壁，道路曲折穿行于坚硬的岩壁中，为人力开凿与大自然鬼斧神工的结合，令中外游客叹为观止。前往花莲著名的【夜市】（约60分钟）（晚餐自理），自费品尝台湾地道的著名小吃。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六</w:t>
            </w:r>
            <w:r>
              <w:rPr>
                <w:rFonts w:hint="eastAsia" w:ascii="微软雅黑" w:hAnsi="微软雅黑" w:eastAsia="微软雅黑"/>
                <w:szCs w:val="21"/>
              </w:rPr>
              <w:t>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花莲／苏澳火车／自由广场／车游总统府／土特产+昇恒昌免税店／台北夜市/桃园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乘东部火车到【苏澳】站（避开了苏花公路），之后乘旅游大巴返回台北。前往位于台北市中心，游览占地24.79公顷的【自由广场】（停留约40分钟），其造型仿北平天坛之顶、埃及金字塔之体，高耸威严，许多国内外之文化表演均在此进行。由于占地广阔、建筑美丽，是民众活动聚会及婚纱摄影的胜地，更成为国外人客必访之地。【车游总统府】（约20分钟）。品尝台湾特产【凤梨酥】（约60分钟），【升恒昌国际免税店】（约60分钟），台湾政府特许的唯一机场免税商店，参观购买名产分送亲友。前往台北著名的【夜市】（约60分钟）（晚餐自理），自费品尝台湾地道的著名小吃。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七</w:t>
            </w:r>
            <w:r>
              <w:rPr>
                <w:rFonts w:hint="eastAsia" w:ascii="微软雅黑" w:hAnsi="微软雅黑" w:eastAsia="微软雅黑"/>
                <w:szCs w:val="21"/>
              </w:rPr>
              <w:t>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用餐：早：午：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温暖的家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台北桃园／竹围渔港／桃园机场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0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深圳或香港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早餐后前往【竹围渔港】（约60分钟）近年已成为兼具休闲功能的观光渔港。和基隆市碧砂渔港、台北县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instrText xml:space="preserve"> HYPERLINK "http://baike.baidu.com/view/1096474.htm" \t "_blank" </w:instrTex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富基渔港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并称北台湾三大渔获供销重地。每逢假日，总吸引了许多的游客来此吃海鲜看海景，欣赏海天一色的景致。后驱车前往台北桃园国际机场搭乘豪华客机返回深圳或香港（视航班情况而定，如飞香港则安排直通车送回深圳指定关口），结束这次令人难忘的宝岛之旅！</w:t>
            </w:r>
          </w:p>
        </w:tc>
      </w:tr>
    </w:tbl>
    <w:p>
      <w:pPr>
        <w:wordWrap w:val="0"/>
        <w:jc w:val="center"/>
        <w:rPr>
          <w:rFonts w:hint="eastAsia" w:ascii="微软雅黑" w:hAnsi="微软雅黑" w:eastAsia="微软雅黑"/>
          <w:color w:val="FF3399"/>
          <w:sz w:val="30"/>
          <w:szCs w:val="30"/>
        </w:rPr>
      </w:pPr>
      <w:r>
        <w:rPr>
          <w:rFonts w:hint="eastAsia" w:ascii="微软雅黑" w:hAnsi="微软雅黑" w:eastAsia="微软雅黑"/>
          <w:color w:val="FF3399"/>
          <w:sz w:val="30"/>
          <w:szCs w:val="30"/>
        </w:rPr>
        <w:t xml:space="preserve">※※※※※※※※※※※※ </w:t>
      </w:r>
      <w:r>
        <w:rPr>
          <w:rFonts w:hint="eastAsia" w:ascii="微软雅黑" w:hAnsi="微软雅黑" w:eastAsia="微软雅黑"/>
          <w:b/>
          <w:bCs/>
          <w:color w:val="FF3399"/>
          <w:sz w:val="30"/>
          <w:szCs w:val="30"/>
        </w:rPr>
        <w:t>预祝各位嘉宾旅途愉快！</w:t>
      </w:r>
      <w:r>
        <w:rPr>
          <w:rFonts w:hint="eastAsia" w:ascii="微软雅黑" w:hAnsi="微软雅黑" w:eastAsia="微软雅黑"/>
          <w:color w:val="FF3399"/>
          <w:sz w:val="30"/>
          <w:szCs w:val="30"/>
        </w:rPr>
        <w:t>※※※※※※※※※※※※</w:t>
      </w:r>
    </w:p>
    <w:p>
      <w:pPr>
        <w:wordWrap w:val="0"/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此旅游行程及游览内容仅供报名时参考之用，具体安排以出发前发的出团通知书中最终确认行程为准</w:t>
      </w:r>
    </w:p>
    <w:p>
      <w:pPr>
        <w:spacing w:line="300" w:lineRule="exact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费用包含：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台湾入台证、行程表内所列的景点门票、香港机场返回深圳关口交通、国际机票及税、豪华观光巴士、早餐为酒店中西式自助餐、午晚餐八菜一汤（餐标新台币200元/餐/人）、住宿二人一间标准间、台湾段200万元台币旅游意外险和3万元台币医疗险、旅行社责任险及个人旅游意外险50万（中华保险）；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费用不含：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赴台通行证及签注费用、领队及台湾导游司机陪同服务费（全程350元/人，烦请以现金方式付给领队）、行程以外私人所产生的费用、机场内候机及转机的用餐；如产生单男或单女需拼住，我社有权根椐团队需要来安排，如安排不了请自补房差。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注意事项：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★自费项目：全程无自费项目；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★小童费用：2-12周岁以下小童收取小童价，2周岁以下婴儿不占床收取成人的5折，占床大小同价。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★团员在行程中应遵守当地政府的规定，全程跟团活动，不能参加任何公务及公开的活动，不可临时更改行程。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★因特殊原因会造成行程变更；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★行程顺序有可能会因天气、航班等因素影响，而造成饭店、景点、餐食顺序上之调整，请见谅；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★因旅客自身原因，非旅行社过失所造成的损失，我公司概不负责及作出任何补偿；</w:t>
      </w:r>
    </w:p>
    <w:p>
      <w:pPr>
        <w:spacing w:line="300" w:lineRule="exact"/>
        <w:ind w:left="462" w:leftChars="220"/>
        <w:rPr>
          <w:rFonts w:hint="eastAsia" w:ascii="宋体" w:hAnsi="宋体"/>
        </w:rPr>
      </w:pPr>
      <w:r>
        <w:rPr>
          <w:rFonts w:hint="eastAsia"/>
        </w:rPr>
        <w:t>★散拼每团需15人以上出团，</w:t>
      </w:r>
      <w:r>
        <w:rPr>
          <w:rFonts w:hint="eastAsia" w:ascii="宋体" w:hAnsi="宋体"/>
        </w:rPr>
        <w:t>并且</w:t>
      </w:r>
      <w:r>
        <w:rPr>
          <w:rFonts w:hint="eastAsia" w:ascii="宋体" w:hAnsi="宋体" w:cs="黑体"/>
          <w:szCs w:val="21"/>
        </w:rPr>
        <w:t>至少5个客人所持大陆赴台证签注是团队签注（L）的出团；</w:t>
      </w:r>
      <w:r>
        <w:rPr>
          <w:rFonts w:hint="eastAsia" w:ascii="宋体" w:hAnsi="宋体"/>
        </w:rPr>
        <w:t xml:space="preserve"> 如人数不足，我社有权取消此团，客人可改团或顺延出团或退款；</w:t>
      </w:r>
    </w:p>
    <w:p>
      <w:pPr>
        <w:spacing w:line="300" w:lineRule="exact"/>
        <w:ind w:left="462" w:leftChars="220"/>
        <w:rPr>
          <w:rFonts w:hint="eastAsia" w:ascii="宋体" w:hAnsi="宋体"/>
          <w:bCs/>
          <w:szCs w:val="21"/>
        </w:rPr>
      </w:pPr>
      <w:r>
        <w:rPr>
          <w:rFonts w:hint="eastAsia"/>
        </w:rPr>
        <w:t>★如有团友</w:t>
      </w:r>
      <w:r>
        <w:rPr>
          <w:rFonts w:hint="eastAsia" w:ascii="宋体" w:hAnsi="宋体"/>
          <w:bCs/>
          <w:szCs w:val="21"/>
        </w:rPr>
        <w:t>为非中国大陆人士请在报名前向我社告知；非中国大陆居民要额外增加人民币￥500机票附加费；并请非中国大陆人士自行备好旅程中需要的有效护照和相关签注；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>
      <w:pPr>
        <w:spacing w:line="300" w:lineRule="exac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特别提醒：</w:t>
      </w:r>
    </w:p>
    <w:p>
      <w:pPr>
        <w:spacing w:line="300" w:lineRule="exact"/>
        <w:ind w:left="632" w:leftChars="201" w:hanging="210" w:hangingChars="100"/>
        <w:rPr>
          <w:rFonts w:hint="eastAsia"/>
        </w:rPr>
      </w:pPr>
      <w:r>
        <w:rPr>
          <w:rFonts w:hint="eastAsia"/>
        </w:rPr>
        <w:t>★自备台湾入台证的客人，因入台证不是我社办理的，请自己确认好其可靠性，因入台证导致出入境有问题的，我社概不负责，谢谢！</w:t>
      </w:r>
    </w:p>
    <w:p>
      <w:pPr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★行程内所附购物活动内容为以下补充协议内的购物场所，烦请各位在出团前必须签署台湾旅游合同及以下备份</w:t>
      </w:r>
    </w:p>
    <w:p>
      <w:pPr>
        <w:spacing w:line="300" w:lineRule="exact"/>
        <w:ind w:firstLine="630" w:firstLineChars="300"/>
        <w:rPr>
          <w:rFonts w:hint="eastAsia"/>
        </w:rPr>
      </w:pPr>
      <w:r>
        <w:rPr>
          <w:rFonts w:hint="eastAsia"/>
        </w:rPr>
        <w:t>补充协议，万分感谢！</w:t>
      </w:r>
    </w:p>
    <w:p>
      <w:pPr>
        <w:spacing w:line="3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</w:t>
      </w: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风险告知：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★旅游者不适合参加旅游活动的情形（旅游线路或者旅游活动对旅游者身体、年龄的限制条件等）；</w:t>
      </w:r>
    </w:p>
    <w:p>
      <w:pPr>
        <w:spacing w:line="300" w:lineRule="exact"/>
        <w:ind w:left="777" w:leftChars="220" w:hanging="315" w:hangingChars="150"/>
        <w:rPr>
          <w:rFonts w:hint="eastAsia"/>
        </w:rPr>
      </w:pPr>
      <w:r>
        <w:rPr>
          <w:rFonts w:hint="eastAsia"/>
        </w:rPr>
        <w:t>★旅游活动中的安全注意事项（包含正确使用相关设施、设备的方法，必要的安全防范和应急措施，可能危及</w:t>
      </w:r>
    </w:p>
    <w:p>
      <w:pPr>
        <w:spacing w:line="300" w:lineRule="exact"/>
        <w:ind w:left="777" w:leftChars="320" w:hanging="105" w:hangingChars="50"/>
        <w:rPr>
          <w:rFonts w:hint="eastAsia"/>
        </w:rPr>
      </w:pPr>
      <w:r>
        <w:rPr>
          <w:rFonts w:hint="eastAsia"/>
        </w:rPr>
        <w:t>旅游者人身、财产安全的其他情形、另付费项目的安全注意事项）；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★旅行社依法可以减免责任的信息；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★自由活动期间的安全注意事项；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★旅游者应当注意的旅游目的地相关法律、法规和风俗习惯、宗教禁忌，依照中国法律不宜参加的活动等；</w:t>
      </w:r>
    </w:p>
    <w:p>
      <w:pPr>
        <w:spacing w:line="300" w:lineRule="exact"/>
        <w:rPr>
          <w:rFonts w:hint="eastAsia"/>
          <w:b/>
          <w:color w:val="FF0000"/>
        </w:rPr>
      </w:pPr>
    </w:p>
    <w:p>
      <w:pPr>
        <w:spacing w:line="300" w:lineRule="exac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本行程有补充协议，见《补充协议》附件！</w:t>
      </w:r>
    </w:p>
    <w:p>
      <w:pPr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充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协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议</w:t>
      </w:r>
    </w:p>
    <w:p>
      <w:pPr>
        <w:rPr>
          <w:sz w:val="24"/>
        </w:rPr>
      </w:pPr>
      <w:r>
        <w:rPr>
          <w:rFonts w:hint="eastAsia" w:ascii="宋体" w:hAnsi="宋体"/>
          <w:b/>
          <w:sz w:val="24"/>
        </w:rPr>
        <w:t>旅行社：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</w:t>
      </w:r>
      <w:r>
        <w:rPr>
          <w:rFonts w:hint="eastAsia" w:ascii="宋体" w:hAnsi="宋体"/>
          <w:b/>
          <w:sz w:val="24"/>
        </w:rPr>
        <w:t xml:space="preserve">     团号：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对旅游行程单中约定的自由活动期间的行程安排，旅行社应旅游者要求并经双方协商一致，达成本补充协议，作为包价旅游合同的组成部分。</w:t>
      </w:r>
      <w:r>
        <w:rPr>
          <w:szCs w:val="21"/>
        </w:rPr>
        <w:t xml:space="preserve"> 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一、购物场所：</w:t>
      </w:r>
    </w:p>
    <w:tbl>
      <w:tblPr>
        <w:tblStyle w:val="13"/>
        <w:tblpPr w:leftFromText="180" w:rightFromText="180" w:vertAnchor="text" w:horzAnchor="margin" w:tblpXSpec="center" w:tblpY="107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340"/>
        <w:gridCol w:w="3600"/>
        <w:gridCol w:w="1440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日期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名  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简介（主要商品种类、特色等）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时长(小时)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乐氏同仁堂博物馆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农产品特产(灵芝)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宝岛国际休闲股份有限公司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农产品特产(茶叶、茶食)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萨摩亚商环宇珠宝城有限公司高雄分公司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钻石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台东红珊瑚股份有限公司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台湾宝石珊瑚雕刻艺品，宝石珊瑚典藏珠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敦煌石艺商行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大理石 玉石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宝岛御品轩台湾土特产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凤梨酥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升恒昌股份有限公司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国际美妆、食品、烟酒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t>说明：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1、旅游者请根据自身经济情况谨慎购买，所购商品如非质量问题一律不予退还；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2、行程单中的景点、餐厅、长途中途休息站等以内及周边购物店不属于安排的购物场所，若商品出现质量问题，旅行社不承担任何责任；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3、旅游者自行前往的购物店所购商品出现质量问题，旅行社不承担任何责任。 </w:t>
      </w:r>
    </w:p>
    <w:p>
      <w:pPr>
        <w:rPr>
          <w:rFonts w:hint="eastAsia" w:ascii="宋体" w:hAnsi="宋体" w:cs="Arial"/>
          <w:b/>
          <w:szCs w:val="21"/>
        </w:rPr>
      </w:pPr>
    </w:p>
    <w:p>
      <w:pPr>
        <w:rPr>
          <w:rFonts w:hint="eastAsia" w:ascii="宋体" w:hAnsi="宋体" w:cs="Arial"/>
          <w:b/>
          <w:szCs w:val="21"/>
        </w:rPr>
      </w:pPr>
      <w:r>
        <w:rPr>
          <w:rFonts w:hint="eastAsia"/>
          <w:b/>
          <w:szCs w:val="21"/>
        </w:rPr>
        <w:t>旅游者（盖章或者签字）：</w:t>
      </w:r>
      <w:r>
        <w:rPr>
          <w:szCs w:val="21"/>
        </w:rPr>
        <w:t xml:space="preserve">                              </w:t>
      </w:r>
      <w:r>
        <w:rPr>
          <w:rFonts w:hint="eastAsia" w:ascii="宋体" w:hAnsi="宋体" w:cs="Arial"/>
          <w:b/>
          <w:szCs w:val="21"/>
        </w:rPr>
        <w:t>旅行社销售代表：</w:t>
      </w:r>
    </w:p>
    <w:p>
      <w:pPr>
        <w:rPr>
          <w:rFonts w:hint="eastAsia" w:ascii="宋体" w:hAnsi="宋体" w:cs="Arial"/>
          <w:b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  <w:r>
        <w:rPr>
          <w:rFonts w:hint="eastAsia" w:ascii="宋体" w:hAnsi="宋体" w:cs="Arial"/>
          <w:b/>
          <w:szCs w:val="21"/>
        </w:rPr>
        <w:t xml:space="preserve"> </w:t>
      </w:r>
      <w:r>
        <w:rPr>
          <w:rFonts w:hint="eastAsia" w:ascii="宋体" w:hAnsi="宋体" w:cs="Arial"/>
          <w:szCs w:val="21"/>
        </w:rPr>
        <w:t xml:space="preserve">                         日期：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门市部 </w:t>
      </w:r>
      <w:r>
        <w:rPr>
          <w:rFonts w:ascii="微软雅黑" w:hAnsi="微软雅黑" w:eastAsia="微软雅黑"/>
          <w:sz w:val="18"/>
          <w:szCs w:val="18"/>
        </w:rPr>
        <w:t xml:space="preserve">                        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旅行者及客户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经办人姓名及电话：                                                          经办人姓名及电话：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日期：                                                                      日期：</w:t>
      </w: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ospace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-Tahoma">
    <w:altName w:val="黑体"/>
    <w:panose1 w:val="020B0604030504040204"/>
    <w:charset w:val="86"/>
    <w:family w:val="swiss"/>
    <w:pitch w:val="default"/>
    <w:sig w:usb0="00000000" w:usb1="00000000" w:usb2="001FFDFF" w:usb3="00000000" w:csb0="603F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兰亭细黑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b/>
        <w:color w:val="FF3399"/>
        <w:sz w:val="30"/>
        <w:szCs w:val="30"/>
      </w:rPr>
    </w:pPr>
    <w:r>
      <w:rPr>
        <w:rFonts w:hint="eastAsia"/>
        <w:b/>
        <w:color w:val="FF3399"/>
        <w:sz w:val="30"/>
        <w:szCs w:val="30"/>
      </w:rPr>
      <w:t>广州驴妈妈国际旅行社有限公司</w:t>
    </w:r>
  </w:p>
  <w:p>
    <w:pPr>
      <w:pStyle w:val="5"/>
      <w:jc w:val="left"/>
    </w:pPr>
    <w:r>
      <w:t>GUANGZHOU LVMAMA INTERNATIONAL TRAVEL CO.LTD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D"/>
    <w:rsid w:val="00033972"/>
    <w:rsid w:val="000467F1"/>
    <w:rsid w:val="00086C72"/>
    <w:rsid w:val="00102D3F"/>
    <w:rsid w:val="00111FAF"/>
    <w:rsid w:val="00170EF2"/>
    <w:rsid w:val="002F2A63"/>
    <w:rsid w:val="002F54F4"/>
    <w:rsid w:val="0030571D"/>
    <w:rsid w:val="00315102"/>
    <w:rsid w:val="003255D0"/>
    <w:rsid w:val="00352482"/>
    <w:rsid w:val="003530A4"/>
    <w:rsid w:val="0038626B"/>
    <w:rsid w:val="00424A23"/>
    <w:rsid w:val="00490530"/>
    <w:rsid w:val="004A65B8"/>
    <w:rsid w:val="004E21CC"/>
    <w:rsid w:val="004F03F7"/>
    <w:rsid w:val="00542496"/>
    <w:rsid w:val="005448A0"/>
    <w:rsid w:val="005858FA"/>
    <w:rsid w:val="0059725B"/>
    <w:rsid w:val="005A444D"/>
    <w:rsid w:val="0064213A"/>
    <w:rsid w:val="006E6D7C"/>
    <w:rsid w:val="00717AC2"/>
    <w:rsid w:val="00776453"/>
    <w:rsid w:val="007A5A9A"/>
    <w:rsid w:val="007A728C"/>
    <w:rsid w:val="007D1D67"/>
    <w:rsid w:val="008A7A92"/>
    <w:rsid w:val="008B0C16"/>
    <w:rsid w:val="008E58A6"/>
    <w:rsid w:val="00997D93"/>
    <w:rsid w:val="009C69FF"/>
    <w:rsid w:val="00B323E9"/>
    <w:rsid w:val="00B3515C"/>
    <w:rsid w:val="00C00A9A"/>
    <w:rsid w:val="00C10406"/>
    <w:rsid w:val="00CB1110"/>
    <w:rsid w:val="00D43740"/>
    <w:rsid w:val="00D851A0"/>
    <w:rsid w:val="00D858BD"/>
    <w:rsid w:val="00D90F39"/>
    <w:rsid w:val="00DF1152"/>
    <w:rsid w:val="00E30F9D"/>
    <w:rsid w:val="00E64FC6"/>
    <w:rsid w:val="00F67AE2"/>
    <w:rsid w:val="00FE651C"/>
    <w:rsid w:val="09EC4A21"/>
    <w:rsid w:val="158C5B9A"/>
    <w:rsid w:val="1B8C3DEE"/>
    <w:rsid w:val="29FD2530"/>
    <w:rsid w:val="3E5139F1"/>
    <w:rsid w:val="42146116"/>
    <w:rsid w:val="7C5E45F3"/>
    <w:rsid w:val="7F352B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widowControl/>
      <w:spacing w:before="100" w:beforeLines="0" w:beforeAutospacing="1" w:after="100" w:afterLines="0" w:afterAutospacing="1"/>
      <w:jc w:val="left"/>
      <w:outlineLvl w:val="5"/>
    </w:pPr>
    <w:rPr>
      <w:rFonts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widowControl/>
      <w:tabs>
        <w:tab w:val="left" w:pos="1620"/>
        <w:tab w:val="left" w:pos="1980"/>
      </w:tabs>
      <w:ind w:left="2016" w:hanging="2016"/>
    </w:pPr>
    <w:rPr>
      <w:kern w:val="2"/>
      <w:sz w:val="24"/>
      <w:lang w:val="en-US" w:eastAsia="zh-CN" w:bidi="ar-SA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 w:cs="Courier New"/>
      <w:kern w:val="0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rFonts w:ascii="Tahoma" w:hAnsi="Tahoma" w:eastAsia="Times New Roman" w:cs="Tahoma"/>
      <w:color w:val="0000CC"/>
      <w:kern w:val="0"/>
      <w:sz w:val="20"/>
      <w:szCs w:val="20"/>
      <w:u w:val="single"/>
      <w:lang w:eastAsia="en-US"/>
    </w:rPr>
  </w:style>
  <w:style w:type="character" w:styleId="12">
    <w:name w:val="HTML Code"/>
    <w:unhideWhenUsed/>
    <w:qFormat/>
    <w:uiPriority w:val="99"/>
    <w:rPr>
      <w:rFonts w:ascii="Courier New" w:hAnsi="Courier New"/>
      <w:sz w:val="20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19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_Style 2"/>
    <w:basedOn w:val="1"/>
    <w:qFormat/>
    <w:uiPriority w:val="99"/>
    <w:rPr>
      <w:szCs w:val="21"/>
    </w:rPr>
  </w:style>
  <w:style w:type="paragraph" w:customStyle="1" w:styleId="21">
    <w:name w:val="无间隔1"/>
    <w:qFormat/>
    <w:uiPriority w:val="0"/>
    <w:rPr>
      <w:rFonts w:eastAsia="Arial Unicode MS" w:asciiTheme="minorHAnsi" w:hAnsiTheme="minorHAnsi" w:cstheme="minorBidi"/>
      <w:kern w:val="1"/>
      <w:sz w:val="24"/>
      <w:szCs w:val="22"/>
      <w:lang w:val="en-US" w:eastAsia="zh-CN" w:bidi="ar-SA"/>
    </w:rPr>
  </w:style>
  <w:style w:type="character" w:customStyle="1" w:styleId="22">
    <w:name w:val="gray9p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1561</Words>
  <Characters>8903</Characters>
  <Lines>74</Lines>
  <Paragraphs>20</Paragraphs>
  <ScaleCrop>false</ScaleCrop>
  <LinksUpToDate>false</LinksUpToDate>
  <CharactersWithSpaces>10444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2017-06-04T12:20:00Z</dcterms:created>
  <dc:creator>Junlz</dc:creator>
  <cp:lastModifiedBy>Administrator</cp:lastModifiedBy>
  <dcterms:modified xsi:type="dcterms:W3CDTF">2017-06-11T06:15:50Z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