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right="21" w:rightChars="10"/>
        <w:rPr>
          <w:rFonts w:ascii="宋体" w:hAnsi="宋体"/>
          <w:b/>
          <w:szCs w:val="21"/>
        </w:rPr>
      </w:pPr>
      <w:r>
        <w:rPr>
          <w:rFonts w:hint="eastAsia" w:ascii="宋体" w:hAnsi="宋体"/>
          <w:b/>
          <w:szCs w:val="21"/>
        </w:rPr>
        <w:drawing>
          <wp:anchor distT="0" distB="0" distL="114300" distR="114300" simplePos="0" relativeHeight="252243968" behindDoc="0" locked="0" layoutInCell="1" allowOverlap="1">
            <wp:simplePos x="0" y="0"/>
            <wp:positionH relativeFrom="column">
              <wp:posOffset>-1197610</wp:posOffset>
            </wp:positionH>
            <wp:positionV relativeFrom="paragraph">
              <wp:posOffset>-2160270</wp:posOffset>
            </wp:positionV>
            <wp:extent cx="7662545" cy="10892155"/>
            <wp:effectExtent l="0" t="0" r="0" b="444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662541" cy="10892448"/>
                    </a:xfrm>
                    <a:prstGeom prst="rect">
                      <a:avLst/>
                    </a:prstGeom>
                  </pic:spPr>
                </pic:pic>
              </a:graphicData>
            </a:graphic>
          </wp:anchor>
        </w:drawing>
      </w:r>
      <w:r>
        <w:rPr>
          <w:rFonts w:hint="eastAsia" w:ascii="宋体" w:hAnsi="宋体"/>
          <w:b/>
          <w:szCs w:val="21"/>
        </w:rPr>
        <w:drawing>
          <wp:anchor distT="0" distB="0" distL="114300" distR="114300" simplePos="0" relativeHeight="252244992" behindDoc="0" locked="0" layoutInCell="1" allowOverlap="1">
            <wp:simplePos x="0" y="0"/>
            <wp:positionH relativeFrom="column">
              <wp:posOffset>6586220</wp:posOffset>
            </wp:positionH>
            <wp:positionV relativeFrom="paragraph">
              <wp:posOffset>-2160270</wp:posOffset>
            </wp:positionV>
            <wp:extent cx="6938010" cy="9911715"/>
            <wp:effectExtent l="19050" t="0" r="0" b="0"/>
            <wp:wrapNone/>
            <wp:docPr id="8" name="图片 7" descr="中号图-恢复的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中号图-恢复的_02.jpg"/>
                    <pic:cNvPicPr>
                      <a:picLocks noChangeAspect="1"/>
                    </pic:cNvPicPr>
                  </pic:nvPicPr>
                  <pic:blipFill>
                    <a:blip r:embed="rId6"/>
                    <a:stretch>
                      <a:fillRect/>
                    </a:stretch>
                  </pic:blipFill>
                  <pic:spPr>
                    <a:xfrm>
                      <a:off x="0" y="0"/>
                      <a:ext cx="6938010" cy="9911715"/>
                    </a:xfrm>
                    <a:prstGeom prst="rect">
                      <a:avLst/>
                    </a:prstGeom>
                  </pic:spPr>
                </pic:pic>
              </a:graphicData>
            </a:graphic>
          </wp:anchor>
        </w:drawing>
      </w: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r>
        <w:rPr>
          <w:rFonts w:hint="eastAsia" w:ascii="宋体" w:hAnsi="宋体"/>
          <w:b/>
          <w:szCs w:val="21"/>
        </w:rPr>
        <w:drawing>
          <wp:anchor distT="0" distB="0" distL="114300" distR="114300" simplePos="0" relativeHeight="252246016" behindDoc="0" locked="0" layoutInCell="1" allowOverlap="1">
            <wp:simplePos x="0" y="0"/>
            <wp:positionH relativeFrom="column">
              <wp:posOffset>-1122680</wp:posOffset>
            </wp:positionH>
            <wp:positionV relativeFrom="paragraph">
              <wp:posOffset>-2160270</wp:posOffset>
            </wp:positionV>
            <wp:extent cx="7528560" cy="10701655"/>
            <wp:effectExtent l="0" t="0" r="0"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28406" cy="10701773"/>
                    </a:xfrm>
                    <a:prstGeom prst="rect">
                      <a:avLst/>
                    </a:prstGeom>
                  </pic:spPr>
                </pic:pic>
              </a:graphicData>
            </a:graphic>
          </wp:anchor>
        </w:drawing>
      </w: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r>
        <w:rPr>
          <w:rFonts w:hint="eastAsia" w:ascii="宋体" w:hAnsi="宋体"/>
          <w:b/>
          <w:szCs w:val="21"/>
        </w:rPr>
        <w:drawing>
          <wp:anchor distT="0" distB="0" distL="114300" distR="114300" simplePos="0" relativeHeight="252247040" behindDoc="0" locked="0" layoutInCell="1" allowOverlap="1">
            <wp:simplePos x="0" y="0"/>
            <wp:positionH relativeFrom="column">
              <wp:posOffset>-1114425</wp:posOffset>
            </wp:positionH>
            <wp:positionV relativeFrom="paragraph">
              <wp:posOffset>-2160270</wp:posOffset>
            </wp:positionV>
            <wp:extent cx="7518400" cy="10725150"/>
            <wp:effectExtent l="0" t="0" r="0" b="0"/>
            <wp:wrapNone/>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18203" cy="10725335"/>
                    </a:xfrm>
                    <a:prstGeom prst="rect">
                      <a:avLst/>
                    </a:prstGeom>
                  </pic:spPr>
                </pic:pic>
              </a:graphicData>
            </a:graphic>
          </wp:anchor>
        </w:drawing>
      </w: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p>
    <w:p>
      <w:pPr>
        <w:autoSpaceDE w:val="0"/>
        <w:autoSpaceDN w:val="0"/>
        <w:adjustRightInd w:val="0"/>
        <w:ind w:right="21" w:rightChars="10"/>
        <w:rPr>
          <w:rFonts w:ascii="宋体" w:hAnsi="宋体"/>
          <w:b/>
          <w:szCs w:val="21"/>
        </w:rPr>
      </w:pPr>
      <w:r>
        <w:rPr>
          <w:rFonts w:hint="eastAsia" w:ascii="宋体" w:hAnsi="宋体" w:eastAsia="宋体"/>
          <w:b/>
          <w:szCs w:val="21"/>
          <w:lang w:eastAsia="zh-CN"/>
        </w:rPr>
        <w:drawing>
          <wp:anchor distT="0" distB="0" distL="114935" distR="114935" simplePos="0" relativeHeight="252252160" behindDoc="0" locked="0" layoutInCell="1" allowOverlap="1">
            <wp:simplePos x="0" y="0"/>
            <wp:positionH relativeFrom="column">
              <wp:posOffset>-1153795</wp:posOffset>
            </wp:positionH>
            <wp:positionV relativeFrom="paragraph">
              <wp:posOffset>-2174875</wp:posOffset>
            </wp:positionV>
            <wp:extent cx="7552690" cy="10725785"/>
            <wp:effectExtent l="0" t="0" r="10160" b="18415"/>
            <wp:wrapSquare wrapText="bothSides"/>
            <wp:docPr id="13" name="图片 13" descr="中号图-恢复的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号图-恢复的_04"/>
                    <pic:cNvPicPr>
                      <a:picLocks noChangeAspect="1"/>
                    </pic:cNvPicPr>
                  </pic:nvPicPr>
                  <pic:blipFill>
                    <a:blip r:embed="rId9"/>
                    <a:stretch>
                      <a:fillRect/>
                    </a:stretch>
                  </pic:blipFill>
                  <pic:spPr>
                    <a:xfrm>
                      <a:off x="0" y="0"/>
                      <a:ext cx="7552690" cy="10725785"/>
                    </a:xfrm>
                    <a:prstGeom prst="rect">
                      <a:avLst/>
                    </a:prstGeom>
                  </pic:spPr>
                </pic:pic>
              </a:graphicData>
            </a:graphic>
          </wp:anchor>
        </w:drawing>
      </w:r>
    </w:p>
    <w:p>
      <w:pPr>
        <w:autoSpaceDE w:val="0"/>
        <w:autoSpaceDN w:val="0"/>
        <w:adjustRightInd w:val="0"/>
        <w:ind w:right="21" w:rightChars="10"/>
        <w:rPr>
          <w:rFonts w:hint="eastAsia" w:ascii="宋体" w:hAnsi="宋体" w:eastAsia="宋体"/>
          <w:b/>
          <w:szCs w:val="21"/>
          <w:lang w:eastAsia="zh-CN"/>
        </w:rPr>
      </w:pPr>
      <w:r>
        <w:rPr>
          <w:rFonts w:hint="eastAsia" w:ascii="宋体" w:hAnsi="宋体" w:eastAsia="宋体"/>
          <w:b/>
          <w:szCs w:val="21"/>
          <w:lang w:eastAsia="zh-CN"/>
        </w:rPr>
        <w:drawing>
          <wp:anchor distT="0" distB="0" distL="114935" distR="114935" simplePos="0" relativeHeight="252253184" behindDoc="0" locked="0" layoutInCell="1" allowOverlap="1">
            <wp:simplePos x="0" y="0"/>
            <wp:positionH relativeFrom="column">
              <wp:posOffset>-1153795</wp:posOffset>
            </wp:positionH>
            <wp:positionV relativeFrom="paragraph">
              <wp:posOffset>-2164715</wp:posOffset>
            </wp:positionV>
            <wp:extent cx="7584440" cy="10683875"/>
            <wp:effectExtent l="0" t="0" r="16510" b="3175"/>
            <wp:wrapSquare wrapText="bothSides"/>
            <wp:docPr id="14" name="图片 14" descr="中号图-恢复的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号图-恢复的_05"/>
                    <pic:cNvPicPr>
                      <a:picLocks noChangeAspect="1"/>
                    </pic:cNvPicPr>
                  </pic:nvPicPr>
                  <pic:blipFill>
                    <a:blip r:embed="rId10"/>
                    <a:stretch>
                      <a:fillRect/>
                    </a:stretch>
                  </pic:blipFill>
                  <pic:spPr>
                    <a:xfrm>
                      <a:off x="0" y="0"/>
                      <a:ext cx="7584440" cy="10683875"/>
                    </a:xfrm>
                    <a:prstGeom prst="rect">
                      <a:avLst/>
                    </a:prstGeom>
                  </pic:spPr>
                </pic:pic>
              </a:graphicData>
            </a:graphic>
          </wp:anchor>
        </w:drawing>
      </w:r>
    </w:p>
    <w:p>
      <w:pPr>
        <w:autoSpaceDE w:val="0"/>
        <w:autoSpaceDN w:val="0"/>
        <w:adjustRightInd w:val="0"/>
        <w:ind w:right="21" w:rightChars="10"/>
        <w:rPr>
          <w:rFonts w:hint="eastAsia" w:ascii="宋体" w:hAnsi="宋体" w:eastAsia="宋体"/>
          <w:b/>
          <w:szCs w:val="21"/>
          <w:lang w:eastAsia="zh-CN"/>
        </w:rPr>
      </w:pPr>
      <w:r>
        <w:rPr>
          <w:rFonts w:hint="eastAsia" w:ascii="宋体" w:hAnsi="宋体" w:eastAsia="宋体"/>
          <w:b/>
          <w:szCs w:val="21"/>
          <w:lang w:eastAsia="zh-CN"/>
        </w:rPr>
        <w:drawing>
          <wp:anchor distT="0" distB="0" distL="114935" distR="114935" simplePos="0" relativeHeight="252254208" behindDoc="0" locked="0" layoutInCell="1" allowOverlap="1">
            <wp:simplePos x="0" y="0"/>
            <wp:positionH relativeFrom="column">
              <wp:posOffset>-1143000</wp:posOffset>
            </wp:positionH>
            <wp:positionV relativeFrom="paragraph">
              <wp:posOffset>-2198370</wp:posOffset>
            </wp:positionV>
            <wp:extent cx="7574280" cy="10674350"/>
            <wp:effectExtent l="0" t="0" r="7620" b="12700"/>
            <wp:wrapSquare wrapText="bothSides"/>
            <wp:docPr id="17" name="图片 17" descr="中号图-恢复的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号图-恢复的_06"/>
                    <pic:cNvPicPr>
                      <a:picLocks noChangeAspect="1"/>
                    </pic:cNvPicPr>
                  </pic:nvPicPr>
                  <pic:blipFill>
                    <a:blip r:embed="rId11"/>
                    <a:stretch>
                      <a:fillRect/>
                    </a:stretch>
                  </pic:blipFill>
                  <pic:spPr>
                    <a:xfrm>
                      <a:off x="0" y="0"/>
                      <a:ext cx="7574280" cy="10674350"/>
                    </a:xfrm>
                    <a:prstGeom prst="rect">
                      <a:avLst/>
                    </a:prstGeom>
                  </pic:spPr>
                </pic:pic>
              </a:graphicData>
            </a:graphic>
          </wp:anchor>
        </w:drawing>
      </w:r>
    </w:p>
    <w:p>
      <w:pPr>
        <w:autoSpaceDE w:val="0"/>
        <w:autoSpaceDN w:val="0"/>
        <w:adjustRightInd w:val="0"/>
        <w:ind w:right="21" w:rightChars="10"/>
        <w:rPr>
          <w:rFonts w:hint="eastAsia" w:ascii="宋体" w:hAnsi="宋体" w:eastAsia="宋体"/>
          <w:b/>
          <w:szCs w:val="21"/>
          <w:lang w:eastAsia="zh-CN"/>
        </w:rPr>
      </w:pPr>
      <w:r>
        <w:rPr>
          <w:rFonts w:hint="eastAsia" w:ascii="宋体" w:hAnsi="宋体" w:eastAsia="宋体"/>
          <w:b/>
          <w:szCs w:val="21"/>
          <w:lang w:eastAsia="zh-CN"/>
        </w:rPr>
        <w:drawing>
          <wp:anchor distT="0" distB="0" distL="114935" distR="114935" simplePos="0" relativeHeight="252255232" behindDoc="0" locked="0" layoutInCell="1" allowOverlap="1">
            <wp:simplePos x="0" y="0"/>
            <wp:positionH relativeFrom="column">
              <wp:posOffset>-1164590</wp:posOffset>
            </wp:positionH>
            <wp:positionV relativeFrom="paragraph">
              <wp:posOffset>-2160270</wp:posOffset>
            </wp:positionV>
            <wp:extent cx="7552690" cy="10687050"/>
            <wp:effectExtent l="0" t="0" r="10160" b="0"/>
            <wp:wrapSquare wrapText="bothSides"/>
            <wp:docPr id="18" name="图片 18" descr="中号图-恢复的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中号图-恢复的_07"/>
                    <pic:cNvPicPr>
                      <a:picLocks noChangeAspect="1"/>
                    </pic:cNvPicPr>
                  </pic:nvPicPr>
                  <pic:blipFill>
                    <a:blip r:embed="rId12"/>
                    <a:stretch>
                      <a:fillRect/>
                    </a:stretch>
                  </pic:blipFill>
                  <pic:spPr>
                    <a:xfrm>
                      <a:off x="0" y="0"/>
                      <a:ext cx="7552690" cy="10687050"/>
                    </a:xfrm>
                    <a:prstGeom prst="rect">
                      <a:avLst/>
                    </a:prstGeom>
                  </pic:spPr>
                </pic:pic>
              </a:graphicData>
            </a:graphic>
          </wp:anchor>
        </w:drawing>
      </w:r>
    </w:p>
    <w:p>
      <w:pPr>
        <w:autoSpaceDE w:val="0"/>
        <w:autoSpaceDN w:val="0"/>
        <w:adjustRightInd w:val="0"/>
        <w:ind w:right="21" w:rightChars="10"/>
        <w:rPr>
          <w:rFonts w:hint="eastAsia" w:ascii="宋体" w:hAnsi="宋体" w:eastAsia="宋体"/>
          <w:b/>
          <w:szCs w:val="21"/>
          <w:lang w:eastAsia="zh-CN"/>
        </w:rPr>
      </w:pPr>
      <w:r>
        <w:rPr>
          <w:rFonts w:hint="eastAsia" w:ascii="宋体" w:hAnsi="宋体"/>
          <w:b/>
          <w:szCs w:val="21"/>
          <w:lang w:eastAsia="zh-CN"/>
        </w:rPr>
        <w:t>参考行程：</w:t>
      </w:r>
    </w:p>
    <w:tbl>
      <w:tblPr>
        <w:tblStyle w:val="11"/>
        <w:tblW w:w="10375" w:type="dxa"/>
        <w:jc w:val="center"/>
        <w:tblInd w:w="0" w:type="dxa"/>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
      <w:tblGrid>
        <w:gridCol w:w="936"/>
        <w:gridCol w:w="6947"/>
        <w:gridCol w:w="1091"/>
        <w:gridCol w:w="1401"/>
      </w:tblGrid>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Borders>
              <w:top w:val="double" w:color="7030A0"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日期</w:t>
            </w:r>
          </w:p>
        </w:tc>
        <w:tc>
          <w:tcPr>
            <w:tcW w:w="6947" w:type="dxa"/>
            <w:tcBorders>
              <w:top w:val="double" w:color="7030A0"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游览内容</w:t>
            </w:r>
          </w:p>
        </w:tc>
        <w:tc>
          <w:tcPr>
            <w:tcW w:w="1091" w:type="dxa"/>
            <w:tcBorders>
              <w:top w:val="double" w:color="7030A0"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用餐</w:t>
            </w:r>
          </w:p>
        </w:tc>
        <w:tc>
          <w:tcPr>
            <w:tcW w:w="1401" w:type="dxa"/>
            <w:tcBorders>
              <w:top w:val="double" w:color="7030A0" w:sz="4" w:space="0"/>
            </w:tcBorders>
          </w:tcPr>
          <w:p>
            <w:pPr>
              <w:jc w:val="center"/>
              <w:rPr>
                <w:rFonts w:ascii="微软雅黑" w:hAnsi="微软雅黑" w:eastAsia="微软雅黑" w:cs="微软雅黑"/>
              </w:rPr>
            </w:pPr>
            <w:r>
              <w:rPr>
                <w:rFonts w:hint="eastAsia" w:ascii="微软雅黑" w:hAnsi="微软雅黑" w:eastAsia="微软雅黑" w:cs="微软雅黑"/>
                <w:sz w:val="18"/>
                <w:szCs w:val="18"/>
              </w:rPr>
              <w:t>住宿</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第一天</w:t>
            </w:r>
          </w:p>
          <w:p>
            <w:pPr>
              <w:jc w:val="center"/>
              <w:rPr>
                <w:rFonts w:ascii="微软雅黑" w:hAnsi="微软雅黑" w:eastAsia="微软雅黑" w:cs="微软雅黑"/>
                <w:sz w:val="18"/>
                <w:szCs w:val="18"/>
              </w:rPr>
            </w:pPr>
          </w:p>
        </w:tc>
        <w:tc>
          <w:tcPr>
            <w:tcW w:w="6947" w:type="dxa"/>
          </w:tcPr>
          <w:p>
            <w:pPr>
              <w:pStyle w:val="7"/>
              <w:rPr>
                <w:rFonts w:ascii="微软雅黑" w:hAnsi="微软雅黑" w:eastAsia="微软雅黑" w:cs="微软雅黑"/>
                <w:b/>
                <w:bCs/>
                <w:sz w:val="18"/>
                <w:szCs w:val="18"/>
              </w:rPr>
            </w:pPr>
            <w:r>
              <w:rPr>
                <w:rFonts w:hint="eastAsia" w:ascii="微软雅黑" w:hAnsi="微软雅黑" w:eastAsia="微软雅黑" w:cs="微软雅黑"/>
                <w:b/>
                <w:bCs/>
                <w:sz w:val="18"/>
                <w:szCs w:val="18"/>
              </w:rPr>
              <w:t xml:space="preserve">武汉/伊斯坦布尔    </w:t>
            </w:r>
            <w:r>
              <w:rPr>
                <w:rFonts w:hint="eastAsia" w:ascii="微软雅黑" w:hAnsi="微软雅黑" w:eastAsia="微软雅黑" w:cs="微软雅黑"/>
                <w:b/>
                <w:bCs/>
                <w:color w:val="FF0000"/>
                <w:sz w:val="18"/>
                <w:szCs w:val="18"/>
              </w:rPr>
              <w:t>参考航班 CZ8341   1500/2130</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机场集合飞往土耳其名城-伊斯坦布尔。抵达后导游接机,入住酒店休息。</w:t>
            </w:r>
          </w:p>
        </w:tc>
        <w:tc>
          <w:tcPr>
            <w:tcW w:w="1091" w:type="dxa"/>
            <w:vAlign w:val="center"/>
          </w:tcPr>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      /</w:t>
            </w:r>
          </w:p>
        </w:tc>
        <w:tc>
          <w:tcPr>
            <w:tcW w:w="1401" w:type="dxa"/>
            <w:vAlign w:val="center"/>
          </w:tcPr>
          <w:p>
            <w:pPr>
              <w:jc w:val="center"/>
              <w:rPr>
                <w:rFonts w:ascii="微软雅黑" w:hAnsi="微软雅黑" w:eastAsia="微软雅黑" w:cs="微软雅黑"/>
              </w:rPr>
            </w:pPr>
            <w:r>
              <w:rPr>
                <w:rFonts w:hint="eastAsia" w:ascii="微软雅黑" w:hAnsi="微软雅黑" w:eastAsia="微软雅黑" w:cs="微软雅黑"/>
                <w:sz w:val="18"/>
                <w:szCs w:val="18"/>
              </w:rPr>
              <w:t>伊斯坦布尔</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第二天</w:t>
            </w:r>
          </w:p>
          <w:p>
            <w:pPr>
              <w:jc w:val="center"/>
              <w:rPr>
                <w:rFonts w:ascii="微软雅黑" w:hAnsi="微软雅黑" w:eastAsia="微软雅黑" w:cs="微软雅黑"/>
                <w:sz w:val="18"/>
                <w:szCs w:val="18"/>
              </w:rPr>
            </w:pPr>
          </w:p>
        </w:tc>
        <w:tc>
          <w:tcPr>
            <w:tcW w:w="6947" w:type="dxa"/>
          </w:tcPr>
          <w:p>
            <w:pPr>
              <w:pStyle w:val="7"/>
              <w:spacing w:line="400" w:lineRule="atLeast"/>
              <w:rPr>
                <w:rFonts w:ascii="微软雅黑" w:hAnsi="微软雅黑" w:eastAsia="微软雅黑" w:cs="微软雅黑"/>
                <w:b/>
                <w:sz w:val="18"/>
                <w:szCs w:val="18"/>
              </w:rPr>
            </w:pPr>
            <w:r>
              <w:rPr>
                <w:rFonts w:hint="eastAsia" w:ascii="微软雅黑" w:hAnsi="微软雅黑" w:eastAsia="微软雅黑" w:cs="微软雅黑"/>
                <w:b/>
                <w:sz w:val="18"/>
                <w:szCs w:val="18"/>
              </w:rPr>
              <w:t>伊斯坦布尔</w:t>
            </w:r>
            <w:r>
              <w:rPr>
                <w:rFonts w:hint="eastAsia" w:ascii="微软雅黑" w:hAnsi="微软雅黑" w:eastAsia="微软雅黑" w:cs="微软雅黑"/>
                <w:b/>
                <w:bCs/>
                <w:color w:val="000000"/>
                <w:sz w:val="18"/>
                <w:szCs w:val="18"/>
              </w:rPr>
              <w:t>-</w:t>
            </w:r>
            <w:r>
              <w:rPr>
                <w:rFonts w:hint="eastAsia" w:ascii="微软雅黑" w:hAnsi="微软雅黑" w:eastAsia="微软雅黑" w:cs="微软雅黑"/>
                <w:b/>
                <w:sz w:val="18"/>
                <w:szCs w:val="18"/>
              </w:rPr>
              <w:t>番红花城</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早餐后前往</w:t>
            </w:r>
            <w:r>
              <w:rPr>
                <w:rFonts w:hint="eastAsia" w:ascii="微软雅黑" w:hAnsi="微软雅黑" w:eastAsia="微软雅黑" w:cs="微软雅黑"/>
                <w:b/>
                <w:bCs/>
                <w:color w:val="FF0000"/>
                <w:sz w:val="18"/>
                <w:szCs w:val="18"/>
              </w:rPr>
              <w:t>番红花小镇</w:t>
            </w:r>
            <w:r>
              <w:rPr>
                <w:rFonts w:hint="eastAsia" w:ascii="微软雅黑" w:hAnsi="微软雅黑" w:eastAsia="微软雅黑" w:cs="微软雅黑"/>
                <w:sz w:val="18"/>
                <w:szCs w:val="18"/>
              </w:rPr>
              <w:t>。番红花城是位于土耳其安纳托利亚中部的城镇，离首都安卡拉约两百公里。老城区的鄂图曼时期的房屋和建筑都被完整的保留下来，包括私人博物馆、清真寺、墓园、历史喷泉、土耳其浴、钟塔、日晷以及数以百计的房屋，整修后在1994年被列入联合国教科文组织的世界遗产名录。番红花城占地面积约1000平方公里，海拔485米。 城镇名称源自于番红花以及希腊文polis（城邦）。参观番红花城的小山丘:</w:t>
            </w:r>
            <w:r>
              <w:rPr>
                <w:rFonts w:hint="eastAsia" w:ascii="微软雅黑" w:hAnsi="微软雅黑" w:eastAsia="微软雅黑" w:cs="微软雅黑"/>
                <w:b/>
                <w:bCs/>
                <w:color w:val="FF0000"/>
                <w:sz w:val="18"/>
                <w:szCs w:val="18"/>
              </w:rPr>
              <w:t>希德尔立克山丘</w:t>
            </w:r>
            <w:r>
              <w:rPr>
                <w:rFonts w:hint="eastAsia" w:ascii="微软雅黑" w:hAnsi="微软雅黑" w:eastAsia="微软雅黑" w:cs="微软雅黑"/>
                <w:sz w:val="18"/>
                <w:szCs w:val="18"/>
              </w:rPr>
              <w:t>,登上这座山丘，也算是可以俯瞰整座番红花城了，景色尽收眼底，美不胜收，高矮不一的房子也为了一道亮丽的风景线。山顶有一座哈珊-帕夏的墓园。</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小贴士:伊斯坦布尔-番红花正常行车时间约5.5小时</w:t>
            </w:r>
          </w:p>
        </w:tc>
        <w:tc>
          <w:tcPr>
            <w:tcW w:w="109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rPr>
                <w:rFonts w:ascii="微软雅黑" w:hAnsi="微软雅黑" w:eastAsia="微软雅黑" w:cs="微软雅黑"/>
                <w:sz w:val="18"/>
                <w:szCs w:val="18"/>
              </w:rPr>
            </w:pPr>
          </w:p>
          <w:p>
            <w:pPr>
              <w:ind w:left="1" w:leftChars="-4" w:hanging="9" w:hangingChars="5"/>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当地午餐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番红花城小镇</w:t>
            </w:r>
          </w:p>
          <w:p>
            <w:pPr>
              <w:jc w:val="center"/>
              <w:rPr>
                <w:rFonts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传统大宅院(世界遗产)</w:t>
            </w:r>
          </w:p>
          <w:p>
            <w:pPr>
              <w:jc w:val="center"/>
              <w:rPr>
                <w:rFonts w:ascii="微软雅黑" w:hAnsi="微软雅黑" w:eastAsia="微软雅黑" w:cs="微软雅黑"/>
              </w:rPr>
            </w:pP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trHeight w:val="1790" w:hRule="atLeast"/>
          <w:jc w:val="center"/>
        </w:trPr>
        <w:tc>
          <w:tcPr>
            <w:tcW w:w="936" w:type="dxa"/>
          </w:tcPr>
          <w:p>
            <w:pPr>
              <w:jc w:val="center"/>
              <w:rPr>
                <w:rFonts w:ascii="微软雅黑" w:hAnsi="微软雅黑" w:eastAsia="微软雅黑" w:cs="微软雅黑"/>
                <w:sz w:val="18"/>
                <w:szCs w:val="18"/>
              </w:rPr>
            </w:pPr>
          </w:p>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第三天</w:t>
            </w:r>
          </w:p>
          <w:p>
            <w:pPr>
              <w:jc w:val="center"/>
              <w:rPr>
                <w:rFonts w:ascii="微软雅黑" w:hAnsi="微软雅黑" w:eastAsia="微软雅黑" w:cs="微软雅黑"/>
                <w:sz w:val="18"/>
                <w:szCs w:val="18"/>
              </w:rPr>
            </w:pPr>
          </w:p>
        </w:tc>
        <w:tc>
          <w:tcPr>
            <w:tcW w:w="6947" w:type="dxa"/>
          </w:tcPr>
          <w:p>
            <w:pPr>
              <w:pStyle w:val="7"/>
              <w:spacing w:line="400" w:lineRule="atLeas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番红花小镇-安卡拉-卡帕多奇亚</w:t>
            </w:r>
          </w:p>
          <w:p>
            <w:pPr>
              <w:rPr>
                <w:rFonts w:ascii="微软雅黑" w:hAnsi="微软雅黑" w:eastAsia="微软雅黑" w:cs="微软雅黑"/>
                <w:sz w:val="20"/>
              </w:rPr>
            </w:pPr>
            <w:r>
              <w:rPr>
                <w:rFonts w:hint="eastAsia" w:ascii="微软雅黑" w:hAnsi="微软雅黑" w:eastAsia="微软雅黑" w:cs="微软雅黑"/>
                <w:sz w:val="18"/>
                <w:szCs w:val="18"/>
              </w:rPr>
              <w:t>早餐后驱车前往安卡拉, 抵达后游览国父纪念馆土耳其</w:t>
            </w:r>
            <w:r>
              <w:rPr>
                <w:rFonts w:hint="eastAsia" w:ascii="微软雅黑" w:hAnsi="微软雅黑" w:eastAsia="微软雅黑" w:cs="微软雅黑"/>
                <w:b/>
                <w:color w:val="FF0000"/>
                <w:sz w:val="18"/>
                <w:szCs w:val="18"/>
              </w:rPr>
              <w:t>国父纪念馆</w:t>
            </w:r>
            <w:r>
              <w:rPr>
                <w:rFonts w:hint="eastAsia" w:ascii="微软雅黑" w:hAnsi="微软雅黑" w:eastAsia="微软雅黑" w:cs="微软雅黑"/>
                <w:b/>
                <w:bCs/>
                <w:color w:val="FF0000"/>
                <w:sz w:val="18"/>
                <w:szCs w:val="18"/>
              </w:rPr>
              <w:t>(入内游览时间约1小时)</w:t>
            </w:r>
            <w:r>
              <w:rPr>
                <w:rFonts w:hint="eastAsia" w:ascii="微软雅黑" w:hAnsi="微软雅黑" w:eastAsia="微软雅黑" w:cs="微软雅黑"/>
                <w:sz w:val="18"/>
                <w:szCs w:val="18"/>
              </w:rPr>
              <w:t>,为了纪念土耳其共和国创始人凯末尔而建。这是一座茶色石建筑物，墙上刻有凯末尔劝勉民众的文字，内殿有一个黑色大理石墓碑，显得庄重肃穆。沿途经停享有“天空之镜”</w:t>
            </w:r>
            <w:r>
              <w:rPr>
                <w:rFonts w:hint="eastAsia" w:ascii="微软雅黑" w:hAnsi="微软雅黑" w:eastAsia="微软雅黑" w:cs="微软雅黑"/>
                <w:b/>
                <w:color w:val="FF0000"/>
                <w:sz w:val="18"/>
                <w:szCs w:val="18"/>
              </w:rPr>
              <w:t>图兹湖 (</w:t>
            </w:r>
            <w:r>
              <w:rPr>
                <w:rFonts w:hint="eastAsia" w:ascii="微软雅黑" w:hAnsi="微软雅黑" w:eastAsia="微软雅黑" w:cs="微软雅黑"/>
                <w:b/>
                <w:bCs/>
                <w:color w:val="FF0000"/>
                <w:sz w:val="18"/>
                <w:szCs w:val="18"/>
              </w:rPr>
              <w:t>游览时间20分钟）</w:t>
            </w:r>
            <w:r>
              <w:rPr>
                <w:rFonts w:hint="eastAsia" w:ascii="微软雅黑" w:hAnsi="微软雅黑" w:eastAsia="微软雅黑" w:cs="微软雅黑"/>
                <w:sz w:val="18"/>
                <w:szCs w:val="18"/>
              </w:rPr>
              <w:t>位于土耳其中部的内陆咸水湖，在安卡拉西南50公里，面积与水深</w:t>
            </w:r>
            <w:r>
              <w:rPr>
                <w:rFonts w:hint="eastAsia" w:ascii="宋体" w:hAnsi="宋体" w:cs="Tahoma"/>
                <w:bCs/>
                <w:sz w:val="18"/>
                <w:szCs w:val="18"/>
              </w:rPr>
              <w:t>随季</w:t>
            </w:r>
            <w:r>
              <w:rPr>
                <w:rFonts w:hint="eastAsia" w:ascii="微软雅黑" w:hAnsi="微软雅黑" w:eastAsia="微软雅黑" w:cs="微软雅黑"/>
                <w:sz w:val="18"/>
                <w:szCs w:val="18"/>
              </w:rPr>
              <w:t>节变换而变化是土耳其主要盐产地。后前往卡帕多起亚，入住酒店休息。</w:t>
            </w:r>
          </w:p>
          <w:p>
            <w:pPr>
              <w:rPr>
                <w:rFonts w:ascii="宋体" w:hAnsi="宋体" w:cs="Tahoma"/>
                <w:bCs/>
                <w:color w:val="7030A0"/>
                <w:sz w:val="18"/>
                <w:szCs w:val="18"/>
              </w:rPr>
            </w:pPr>
            <w:r>
              <w:rPr>
                <w:rFonts w:hint="eastAsia" w:ascii="宋体" w:hAnsi="宋体" w:cs="Tahoma"/>
                <w:bCs/>
                <w:color w:val="7030A0"/>
                <w:sz w:val="18"/>
                <w:szCs w:val="18"/>
              </w:rPr>
              <w:t>小贴士：</w:t>
            </w:r>
          </w:p>
          <w:p>
            <w:pPr>
              <w:rPr>
                <w:rFonts w:ascii="宋体" w:hAnsi="宋体" w:cs="Tahoma"/>
                <w:bCs/>
                <w:color w:val="7030A0"/>
                <w:sz w:val="18"/>
                <w:szCs w:val="18"/>
              </w:rPr>
            </w:pPr>
            <w:r>
              <w:rPr>
                <w:rFonts w:hint="eastAsia"/>
                <w:color w:val="7030A0"/>
                <w:sz w:val="18"/>
                <w:szCs w:val="18"/>
              </w:rPr>
              <w:t>番红花-安卡拉的</w:t>
            </w:r>
            <w:r>
              <w:rPr>
                <w:rFonts w:hint="eastAsia" w:ascii="宋体" w:hAnsi="宋体" w:cs="Tahoma"/>
                <w:bCs/>
                <w:color w:val="7030A0"/>
                <w:sz w:val="18"/>
                <w:szCs w:val="18"/>
              </w:rPr>
              <w:t>正常行车时间约3小时。</w:t>
            </w:r>
          </w:p>
          <w:p>
            <w:pPr>
              <w:snapToGrid w:val="0"/>
              <w:rPr>
                <w:rFonts w:ascii="微软雅黑" w:hAnsi="微软雅黑" w:eastAsia="微软雅黑" w:cs="微软雅黑"/>
                <w:color w:val="7030A0"/>
                <w:sz w:val="20"/>
              </w:rPr>
            </w:pPr>
            <w:r>
              <w:rPr>
                <w:rFonts w:hint="eastAsia" w:ascii="微软雅黑" w:hAnsi="微软雅黑" w:eastAsia="微软雅黑" w:cs="微软雅黑"/>
                <w:color w:val="7030A0"/>
                <w:sz w:val="20"/>
              </w:rPr>
              <w:t>安卡拉-图兹湖正常行车时间约2小时</w:t>
            </w:r>
          </w:p>
          <w:p>
            <w:pPr>
              <w:snapToGrid w:val="0"/>
              <w:rPr>
                <w:rFonts w:ascii="微软雅黑" w:hAnsi="微软雅黑" w:eastAsia="微软雅黑" w:cs="微软雅黑"/>
                <w:color w:val="7030A0"/>
                <w:sz w:val="20"/>
              </w:rPr>
            </w:pPr>
            <w:r>
              <w:rPr>
                <w:rFonts w:hint="eastAsia" w:ascii="微软雅黑" w:hAnsi="微软雅黑" w:eastAsia="微软雅黑" w:cs="微软雅黑"/>
                <w:color w:val="7030A0"/>
                <w:sz w:val="20"/>
              </w:rPr>
              <w:t>图兹湖-卡帕多奇亚正常行车时间约2.5小时</w:t>
            </w:r>
          </w:p>
          <w:p>
            <w:pPr>
              <w:rPr>
                <w:rFonts w:ascii="宋体" w:hAnsi="宋体" w:cs="Tahoma"/>
                <w:bCs/>
                <w:color w:val="7030A0"/>
                <w:sz w:val="18"/>
                <w:szCs w:val="18"/>
              </w:rPr>
            </w:pPr>
            <w:r>
              <w:rPr>
                <w:rFonts w:hint="eastAsia" w:ascii="宋体" w:hAnsi="宋体" w:cs="Tahoma"/>
                <w:bCs/>
                <w:color w:val="7030A0"/>
                <w:sz w:val="18"/>
                <w:szCs w:val="18"/>
              </w:rPr>
              <w:t>温馨提示：国父纪念馆遇周末及政府活动时，参观人数较多，请您尊重当地礼仪顺序排队参观。</w:t>
            </w:r>
          </w:p>
        </w:tc>
        <w:tc>
          <w:tcPr>
            <w:tcW w:w="109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宅院早餐</w:t>
            </w:r>
          </w:p>
          <w:p>
            <w:pPr>
              <w:jc w:val="center"/>
              <w:rPr>
                <w:rFonts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土式卡巴</w:t>
            </w:r>
          </w:p>
          <w:p>
            <w:pPr>
              <w:jc w:val="center"/>
              <w:rPr>
                <w:rFonts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烤肉串风味餐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卡帕多奇亚</w:t>
            </w:r>
          </w:p>
          <w:p>
            <w:pPr>
              <w:jc w:val="center"/>
              <w:rPr>
                <w:rFonts w:ascii="微软雅黑" w:hAnsi="微软雅黑" w:eastAsia="微软雅黑" w:cs="微软雅黑"/>
              </w:rPr>
            </w:pPr>
            <w:r>
              <w:rPr>
                <w:rFonts w:hint="eastAsia" w:ascii="微软雅黑" w:hAnsi="微软雅黑" w:eastAsia="微软雅黑" w:cs="微软雅黑"/>
                <w:sz w:val="18"/>
                <w:szCs w:val="18"/>
              </w:rPr>
              <w:t>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第四天</w:t>
            </w:r>
          </w:p>
          <w:p>
            <w:pPr>
              <w:jc w:val="center"/>
              <w:rPr>
                <w:rFonts w:ascii="微软雅黑" w:hAnsi="微软雅黑" w:eastAsia="微软雅黑" w:cs="微软雅黑"/>
                <w:sz w:val="18"/>
                <w:szCs w:val="18"/>
              </w:rPr>
            </w:pPr>
          </w:p>
        </w:tc>
        <w:tc>
          <w:tcPr>
            <w:tcW w:w="6947" w:type="dxa"/>
          </w:tcPr>
          <w:p>
            <w:pPr>
              <w:spacing w:line="288"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卡帕多奇亚</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早餐前，自愿参加</w:t>
            </w:r>
            <w:r>
              <w:rPr>
                <w:rFonts w:hint="eastAsia" w:ascii="微软雅黑" w:hAnsi="微软雅黑" w:eastAsia="微软雅黑" w:cs="微软雅黑"/>
                <w:b/>
                <w:bCs/>
                <w:color w:val="FF0000"/>
                <w:sz w:val="18"/>
                <w:szCs w:val="18"/>
              </w:rPr>
              <w:t>热气球之旅</w:t>
            </w:r>
            <w:r>
              <w:rPr>
                <w:rFonts w:hint="eastAsia" w:ascii="微软雅黑" w:hAnsi="微软雅黑" w:eastAsia="微软雅黑" w:cs="微软雅黑"/>
                <w:sz w:val="18"/>
                <w:szCs w:val="18"/>
              </w:rPr>
              <w:t>！（如因天气等不可抗力因素影响无法正常飞行，则取消该自费项目，费用退还！）卡帕多奇亚与肯尼和南非齐名，是世界上玩热气球最受欢迎的三个地方之一，游人在此可以乘坐热气球观看卡帕多奇亚全景。后参观融合卡帕人文与自然于一身的</w:t>
            </w:r>
            <w:r>
              <w:rPr>
                <w:rFonts w:hint="eastAsia" w:ascii="微软雅黑" w:hAnsi="微软雅黑" w:eastAsia="微软雅黑" w:cs="微软雅黑"/>
                <w:b/>
                <w:color w:val="FF0000"/>
                <w:sz w:val="18"/>
                <w:szCs w:val="18"/>
              </w:rPr>
              <w:t>格莱美露天博物馆</w:t>
            </w:r>
            <w:r>
              <w:rPr>
                <w:rFonts w:hint="eastAsia" w:ascii="微软雅黑" w:hAnsi="微软雅黑" w:eastAsia="微软雅黑" w:cs="微软雅黑"/>
                <w:sz w:val="18"/>
                <w:szCs w:val="18"/>
              </w:rPr>
              <w:t>（入内游览时间约：1小时），基督教初创的时候，在中东备受打击，而安纳托利亚高原就成了基督教徒传道和喘气的窗口，而卡帕多奇亚更是基督教徒重整的关键见证。这里集中了众多的岩窟教堂，尽管入口并不显眼而且丑陋不堪，但这里的教堂内仍保留那些年代久远而装饰精美的壁画，尽管有些已经斑驳模糊，人物和故事都需要尽力去分辨，但少数还保留着当年艳丽的颜色、完整的形象。前往参观</w:t>
            </w:r>
            <w:r>
              <w:rPr>
                <w:rFonts w:hint="eastAsia" w:ascii="微软雅黑" w:hAnsi="微软雅黑" w:eastAsia="微软雅黑" w:cs="微软雅黑"/>
                <w:b/>
                <w:color w:val="FF0000"/>
                <w:sz w:val="18"/>
                <w:szCs w:val="18"/>
              </w:rPr>
              <w:t>乌奇萨要塞、鸽子谷、精灵烟囱</w:t>
            </w:r>
            <w:r>
              <w:rPr>
                <w:rFonts w:hint="eastAsia" w:ascii="微软雅黑" w:hAnsi="微软雅黑" w:eastAsia="微软雅黑" w:cs="微软雅黑"/>
                <w:sz w:val="18"/>
                <w:szCs w:val="18"/>
              </w:rPr>
              <w:t>（游览时间约1小时）。随后我们将会走入著名的</w:t>
            </w:r>
            <w:r>
              <w:rPr>
                <w:rFonts w:hint="eastAsia" w:ascii="微软雅黑" w:hAnsi="微软雅黑" w:eastAsia="微软雅黑" w:cs="微软雅黑"/>
                <w:b/>
                <w:bCs/>
                <w:color w:val="FF0000"/>
                <w:sz w:val="18"/>
                <w:szCs w:val="18"/>
              </w:rPr>
              <w:t>地下城</w:t>
            </w:r>
            <w:r>
              <w:rPr>
                <w:rFonts w:hint="eastAsia" w:ascii="微软雅黑" w:hAnsi="微软雅黑" w:eastAsia="微软雅黑" w:cs="微软雅黑"/>
                <w:sz w:val="18"/>
                <w:szCs w:val="18"/>
              </w:rPr>
              <w:t>(入内游览时间约：1小时)，迄今为止，在卡帕多奇亚已经发现的地下城多达36座。地下城的入口很隐蔽，走入盘旋的石梯后就进入了只可勉强供一人通过的窄道，通道时宽时窄，大部分时间只能弯着腰或蹲着前进。一个个迷宫般的房间相互连接，一直蔓延至地心深处。之后前往土耳其</w:t>
            </w:r>
            <w:r>
              <w:rPr>
                <w:rFonts w:hint="eastAsia" w:ascii="微软雅黑" w:hAnsi="微软雅黑" w:eastAsia="微软雅黑" w:cs="微软雅黑"/>
                <w:bCs/>
                <w:sz w:val="18"/>
                <w:szCs w:val="18"/>
              </w:rPr>
              <w:t>手工</w:t>
            </w:r>
            <w:r>
              <w:rPr>
                <w:rFonts w:hint="eastAsia" w:ascii="微软雅黑" w:hAnsi="微软雅黑" w:eastAsia="微软雅黑" w:cs="微软雅黑"/>
                <w:b/>
                <w:bCs/>
                <w:sz w:val="18"/>
                <w:szCs w:val="18"/>
              </w:rPr>
              <w:t>地毯店</w:t>
            </w:r>
            <w:r>
              <w:rPr>
                <w:rFonts w:hint="eastAsia" w:ascii="微软雅黑" w:hAnsi="微软雅黑" w:eastAsia="微软雅黑" w:cs="微软雅黑"/>
                <w:sz w:val="18"/>
                <w:szCs w:val="18"/>
              </w:rPr>
              <w:t>（约1.5小时）地毯博物馆参观完后前往</w:t>
            </w:r>
            <w:r>
              <w:rPr>
                <w:rFonts w:hint="eastAsia" w:ascii="微软雅黑" w:hAnsi="微软雅黑" w:eastAsia="微软雅黑" w:cs="微软雅黑"/>
                <w:b/>
                <w:bCs/>
                <w:sz w:val="18"/>
                <w:szCs w:val="18"/>
              </w:rPr>
              <w:t>陶瓷店</w:t>
            </w:r>
            <w:r>
              <w:rPr>
                <w:rFonts w:hint="eastAsia" w:ascii="微软雅黑" w:hAnsi="微软雅黑" w:eastAsia="微软雅黑" w:cs="微软雅黑"/>
                <w:sz w:val="18"/>
                <w:szCs w:val="18"/>
              </w:rPr>
              <w:t>（约1.5小时）。 晚餐后入住酒店休息。</w:t>
            </w:r>
          </w:p>
          <w:p>
            <w:pPr>
              <w:jc w:val="left"/>
              <w:rPr>
                <w:rFonts w:ascii="微软雅黑" w:hAnsi="微软雅黑" w:eastAsia="微软雅黑" w:cs="微软雅黑"/>
                <w:b/>
                <w:bCs/>
                <w:color w:val="7030A0"/>
                <w:sz w:val="18"/>
                <w:szCs w:val="18"/>
              </w:rPr>
            </w:pPr>
            <w:r>
              <w:rPr>
                <w:rFonts w:hint="eastAsia" w:ascii="微软雅黑" w:hAnsi="微软雅黑" w:eastAsia="微软雅黑" w:cs="微软雅黑"/>
                <w:b/>
                <w:bCs/>
                <w:color w:val="7030A0"/>
                <w:sz w:val="18"/>
                <w:szCs w:val="18"/>
                <w:highlight w:val="yellow"/>
              </w:rPr>
              <w:t>温馨提示：因土耳其热气球位置紧张，只能预定一次，在卡帕第一天若因天气等不可抗力因素影响无法正常飞行的，第二天也无法飞行。请客人谅解!</w:t>
            </w:r>
          </w:p>
          <w:p>
            <w:pPr>
              <w:jc w:val="left"/>
              <w:rPr>
                <w:rFonts w:ascii="微软雅黑" w:hAnsi="微软雅黑" w:eastAsia="微软雅黑" w:cs="微软雅黑"/>
                <w:bCs/>
                <w:color w:val="FF0000"/>
                <w:sz w:val="18"/>
                <w:szCs w:val="18"/>
              </w:rPr>
            </w:pPr>
            <w:r>
              <w:rPr>
                <w:rFonts w:hint="eastAsia" w:ascii="微软雅黑" w:hAnsi="微软雅黑" w:eastAsia="微软雅黑" w:cs="微软雅黑"/>
                <w:b/>
                <w:bCs/>
                <w:color w:val="7030A0"/>
                <w:sz w:val="18"/>
                <w:szCs w:val="18"/>
                <w:highlight w:val="yellow"/>
              </w:rPr>
              <w:t>因热气球位置紧张,国内预定的热气球,有无法乘坐的情况出现.请客人谅解!(费用退还)</w:t>
            </w:r>
          </w:p>
        </w:tc>
        <w:tc>
          <w:tcPr>
            <w:tcW w:w="109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瓦罐餐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highlight w:val="yellow"/>
              </w:rPr>
            </w:pPr>
            <w:r>
              <w:rPr>
                <w:rFonts w:hint="eastAsia" w:ascii="微软雅黑" w:hAnsi="微软雅黑" w:eastAsia="微软雅黑" w:cs="微软雅黑"/>
                <w:sz w:val="18"/>
                <w:szCs w:val="18"/>
                <w:highlight w:val="yellow"/>
              </w:rPr>
              <w:t>卡帕多奇亚</w:t>
            </w:r>
          </w:p>
          <w:p>
            <w:pPr>
              <w:jc w:val="center"/>
              <w:rPr>
                <w:rFonts w:ascii="微软雅黑" w:hAnsi="微软雅黑" w:eastAsia="微软雅黑" w:cs="微软雅黑"/>
              </w:rPr>
            </w:pPr>
            <w:r>
              <w:rPr>
                <w:rFonts w:hint="eastAsia" w:ascii="微软雅黑" w:hAnsi="微软雅黑" w:eastAsia="微软雅黑" w:cs="微软雅黑"/>
                <w:sz w:val="18"/>
                <w:szCs w:val="18"/>
                <w:highlight w:val="yellow"/>
              </w:rPr>
              <w:t>升级洞穴酒店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第五天</w:t>
            </w:r>
          </w:p>
          <w:p>
            <w:pPr>
              <w:jc w:val="center"/>
              <w:rPr>
                <w:rFonts w:ascii="微软雅黑" w:hAnsi="微软雅黑" w:eastAsia="微软雅黑" w:cs="微软雅黑"/>
                <w:sz w:val="18"/>
                <w:szCs w:val="18"/>
              </w:rPr>
            </w:pPr>
          </w:p>
        </w:tc>
        <w:tc>
          <w:tcPr>
            <w:tcW w:w="6947" w:type="dxa"/>
          </w:tcPr>
          <w:p>
            <w:pPr>
              <w:pStyle w:val="10"/>
              <w:spacing w:line="288" w:lineRule="auto"/>
              <w:jc w:val="both"/>
              <w:rPr>
                <w:rFonts w:ascii="微软雅黑" w:hAnsi="微软雅黑" w:eastAsia="微软雅黑" w:cs="微软雅黑"/>
                <w:color w:val="auto"/>
                <w:sz w:val="18"/>
                <w:szCs w:val="18"/>
                <w:u w:val="none"/>
              </w:rPr>
            </w:pPr>
            <w:r>
              <w:rPr>
                <w:rFonts w:hint="eastAsia" w:ascii="微软雅黑" w:hAnsi="微软雅黑" w:eastAsia="微软雅黑" w:cs="微软雅黑"/>
                <w:color w:val="auto"/>
                <w:sz w:val="18"/>
                <w:szCs w:val="18"/>
                <w:u w:val="none"/>
              </w:rPr>
              <w:t>卡帕多奇亚-孔亚-帕姆卡莱</w:t>
            </w:r>
          </w:p>
          <w:p>
            <w:pPr>
              <w:widowControl/>
              <w:spacing w:before="90" w:after="90"/>
              <w:jc w:val="left"/>
              <w:rPr>
                <w:rFonts w:ascii="微软雅黑" w:hAnsi="微软雅黑" w:eastAsia="微软雅黑" w:cs="微软雅黑"/>
                <w:sz w:val="18"/>
                <w:szCs w:val="18"/>
              </w:rPr>
            </w:pPr>
            <w:r>
              <w:rPr>
                <w:rFonts w:hint="eastAsia" w:ascii="微软雅黑" w:hAnsi="微软雅黑" w:eastAsia="微软雅黑" w:cs="微软雅黑"/>
                <w:sz w:val="18"/>
                <w:szCs w:val="18"/>
              </w:rPr>
              <w:t>酒店早餐后，前往土耳其最古老的城市之—</w:t>
            </w:r>
            <w:r>
              <w:rPr>
                <w:rFonts w:hint="eastAsia" w:ascii="微软雅黑" w:hAnsi="微软雅黑" w:eastAsia="微软雅黑" w:cs="微软雅黑"/>
                <w:b/>
                <w:bCs/>
                <w:color w:val="FF0000"/>
                <w:sz w:val="18"/>
                <w:szCs w:val="18"/>
              </w:rPr>
              <w:t>孔亚</w:t>
            </w:r>
            <w:r>
              <w:rPr>
                <w:rFonts w:hint="eastAsia" w:ascii="微软雅黑" w:hAnsi="微软雅黑" w:eastAsia="微软雅黑" w:cs="微软雅黑"/>
                <w:sz w:val="18"/>
                <w:szCs w:val="18"/>
              </w:rPr>
              <w:t>，12至13世纪曾为塞尔柱的首都，是土耳其传统的宗教文化中心。中餐后，前往旋转舞的始祖纪念馆—</w:t>
            </w:r>
            <w:r>
              <w:rPr>
                <w:rFonts w:hint="eastAsia" w:ascii="微软雅黑" w:hAnsi="微软雅黑" w:eastAsia="微软雅黑" w:cs="微软雅黑"/>
                <w:b/>
                <w:bCs/>
                <w:color w:val="FF0000"/>
                <w:sz w:val="18"/>
                <w:szCs w:val="18"/>
              </w:rPr>
              <w:t>梅夫拉那博物馆参观</w:t>
            </w:r>
            <w:r>
              <w:rPr>
                <w:rFonts w:hint="eastAsia" w:ascii="微软雅黑" w:hAnsi="微软雅黑" w:eastAsia="微软雅黑" w:cs="微软雅黑"/>
                <w:sz w:val="18"/>
                <w:szCs w:val="18"/>
              </w:rPr>
              <w:t>（入内游览时间约：1小时），“梅夫拉那”意为“我的师父”，指的是以旋转舞闻名于世的梅夫拉那教创始人杰拉尔丁·鲁米，他是土耳其的宗教领袖、创始人，旋转舞的发明者，他的陵墓在博物馆内，因此命名。午餐后，驱车前往帕姆卡莱（车程约5小时），酒店晚餐后入住酒店休息。</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小贴士：卡帕多奇亚-孔亚正常行车时间约4小时。</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 xml:space="preserve">         孔亚-帕姆卡莱正常行车时间约5小时。</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温馨提示：今天拉车时间相对较长，如果晕车请提前准备晕车药</w:t>
            </w:r>
          </w:p>
        </w:tc>
        <w:tc>
          <w:tcPr>
            <w:tcW w:w="109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土耳其披萨</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帕姆卡莱</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第六天</w:t>
            </w: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p>
        </w:tc>
        <w:tc>
          <w:tcPr>
            <w:tcW w:w="6947" w:type="dxa"/>
          </w:tcPr>
          <w:p>
            <w:pPr>
              <w:jc w:val="left"/>
              <w:rPr>
                <w:rFonts w:ascii="微软雅黑" w:hAnsi="微软雅黑" w:eastAsia="微软雅黑" w:cs="微软雅黑"/>
                <w:color w:val="00BBCC"/>
                <w:kern w:val="0"/>
              </w:rPr>
            </w:pPr>
            <w:r>
              <w:rPr>
                <w:rFonts w:hint="eastAsia" w:ascii="微软雅黑" w:hAnsi="微软雅黑" w:eastAsia="微软雅黑" w:cs="微软雅黑"/>
                <w:color w:val="00BBCC"/>
                <w:kern w:val="0"/>
              </w:rPr>
              <w:t> </w:t>
            </w:r>
            <w:r>
              <w:rPr>
                <w:rFonts w:hint="eastAsia" w:ascii="微软雅黑" w:hAnsi="微软雅黑" w:eastAsia="微软雅黑" w:cs="微软雅黑"/>
                <w:b/>
                <w:color w:val="000000"/>
                <w:sz w:val="18"/>
                <w:szCs w:val="18"/>
              </w:rPr>
              <w:t>帕姆卡莱</w:t>
            </w:r>
            <w:r>
              <w:rPr>
                <w:rFonts w:hint="eastAsia" w:ascii="微软雅黑" w:hAnsi="微软雅黑" w:eastAsia="微软雅黑" w:cs="微软雅黑"/>
                <w:b/>
                <w:sz w:val="18"/>
                <w:szCs w:val="18"/>
              </w:rPr>
              <w:sym w:font="Webdings" w:char="F076"/>
            </w:r>
            <w:r>
              <w:rPr>
                <w:rFonts w:hint="eastAsia" w:ascii="微软雅黑" w:hAnsi="微软雅黑" w:eastAsia="微软雅黑" w:cs="微软雅黑"/>
                <w:b/>
                <w:color w:val="000000"/>
                <w:sz w:val="18"/>
                <w:szCs w:val="18"/>
              </w:rPr>
              <w:t>库萨达斯</w:t>
            </w:r>
          </w:p>
          <w:p>
            <w:pPr>
              <w:widowControl/>
              <w:spacing w:before="90" w:after="90"/>
              <w:jc w:val="left"/>
              <w:rPr>
                <w:rFonts w:ascii="微软雅黑" w:hAnsi="微软雅黑" w:eastAsia="微软雅黑" w:cs="微软雅黑"/>
                <w:sz w:val="18"/>
                <w:szCs w:val="18"/>
              </w:rPr>
            </w:pPr>
            <w:r>
              <w:rPr>
                <w:rFonts w:hint="eastAsia" w:ascii="微软雅黑" w:hAnsi="微软雅黑" w:eastAsia="微软雅黑" w:cs="微软雅黑"/>
                <w:sz w:val="18"/>
                <w:szCs w:val="18"/>
              </w:rPr>
              <w:t>酒店早餐后参观古希腊著名的圣城</w:t>
            </w:r>
            <w:r>
              <w:rPr>
                <w:rFonts w:hint="eastAsia" w:ascii="微软雅黑" w:hAnsi="微软雅黑" w:eastAsia="微软雅黑" w:cs="微软雅黑"/>
                <w:b/>
                <w:color w:val="FF0000"/>
                <w:sz w:val="18"/>
                <w:szCs w:val="18"/>
              </w:rPr>
              <w:t>希拉波利斯古城遗址</w:t>
            </w:r>
            <w:r>
              <w:rPr>
                <w:rFonts w:hint="eastAsia" w:ascii="微软雅黑" w:hAnsi="微软雅黑" w:eastAsia="微软雅黑" w:cs="微软雅黑"/>
                <w:sz w:val="18"/>
                <w:szCs w:val="18"/>
              </w:rPr>
              <w:t>和</w:t>
            </w:r>
            <w:r>
              <w:rPr>
                <w:rFonts w:hint="eastAsia" w:ascii="微软雅黑" w:hAnsi="微软雅黑" w:eastAsia="微软雅黑" w:cs="微软雅黑"/>
                <w:b/>
                <w:color w:val="FF0000"/>
                <w:sz w:val="18"/>
                <w:szCs w:val="18"/>
              </w:rPr>
              <w:t>棉花堡</w:t>
            </w:r>
            <w:r>
              <w:rPr>
                <w:rFonts w:hint="eastAsia" w:ascii="微软雅黑" w:hAnsi="微软雅黑" w:eastAsia="微软雅黑" w:cs="微软雅黑"/>
                <w:sz w:val="18"/>
                <w:szCs w:val="18"/>
              </w:rPr>
              <w:t>（入内游览时间约：2小时），位于土耳其Denizli市的西南部，是远近闻名的温泉度假胜地，土耳其文Pamuk表示棉花，Kale表示城堡，所以Pamukkale就叫棉花堡。超过30度的热水从地底冒出来，再沿着山边流下，在逾100公尺的山坡上形成无数大小水池，由于池内含有大量石灰质的矿物，因而又形成一层层奶白色梯田，从两千年前希腊时代起这里就成为风靡一时的温泉疗养胜地！之后游览</w:t>
            </w:r>
            <w:r>
              <w:rPr>
                <w:rFonts w:hint="eastAsia"/>
              </w:rPr>
              <w:fldChar w:fldCharType="begin"/>
            </w:r>
            <w:r>
              <w:instrText xml:space="preserve"> HYPERLINK "http://www.guwh.com/a/a2707.htm" \t "_blank" </w:instrText>
            </w:r>
            <w:r>
              <w:rPr>
                <w:rFonts w:hint="eastAsia"/>
              </w:rPr>
              <w:fldChar w:fldCharType="separate"/>
            </w:r>
            <w:r>
              <w:rPr>
                <w:rFonts w:hint="eastAsia" w:ascii="微软雅黑" w:hAnsi="微软雅黑" w:eastAsia="微软雅黑" w:cs="微软雅黑"/>
                <w:b/>
                <w:color w:val="FF0000"/>
                <w:sz w:val="18"/>
                <w:szCs w:val="18"/>
              </w:rPr>
              <w:t>希拉波利斯</w:t>
            </w:r>
            <w:r>
              <w:rPr>
                <w:rFonts w:hint="eastAsia" w:ascii="微软雅黑" w:hAnsi="微软雅黑" w:eastAsia="微软雅黑" w:cs="微软雅黑"/>
                <w:b/>
                <w:color w:val="FF0000"/>
                <w:sz w:val="18"/>
                <w:szCs w:val="18"/>
              </w:rPr>
              <w:fldChar w:fldCharType="end"/>
            </w:r>
            <w:r>
              <w:rPr>
                <w:rFonts w:hint="eastAsia" w:ascii="微软雅黑" w:hAnsi="微软雅黑" w:eastAsia="微软雅黑" w:cs="微软雅黑"/>
                <w:b/>
                <w:color w:val="FF0000"/>
                <w:sz w:val="18"/>
                <w:szCs w:val="18"/>
              </w:rPr>
              <w:t>古城遗址</w:t>
            </w:r>
            <w:r>
              <w:rPr>
                <w:rFonts w:hint="eastAsia" w:ascii="微软雅黑" w:hAnsi="微软雅黑" w:eastAsia="微软雅黑" w:cs="微软雅黑"/>
                <w:sz w:val="18"/>
                <w:szCs w:val="18"/>
              </w:rPr>
              <w:t>。此城在棉花堡山顶的另一边，是著名古罗马的遗迹。它与棉花堡地质奇观咫尺之隔，是古代丝绸之路的重要站点，1988年被列为世界文化遗产，这里有异教徒、罗马人、犹太人和早期基督教徒的各种风格，并且融合成了一个安纳托利亚式的整体。前往特色</w:t>
            </w:r>
            <w:r>
              <w:rPr>
                <w:rFonts w:hint="eastAsia" w:ascii="微软雅黑" w:hAnsi="微软雅黑" w:eastAsia="微软雅黑" w:cs="微软雅黑"/>
                <w:b/>
                <w:bCs/>
                <w:sz w:val="18"/>
                <w:szCs w:val="18"/>
              </w:rPr>
              <w:t>棉纺店</w:t>
            </w:r>
            <w:r>
              <w:rPr>
                <w:rFonts w:hint="eastAsia" w:ascii="微软雅黑" w:hAnsi="微软雅黑" w:eastAsia="微软雅黑" w:cs="微软雅黑"/>
                <w:sz w:val="18"/>
                <w:szCs w:val="18"/>
              </w:rPr>
              <w:t>参观（时间约1.5小时）。午餐后驱车前往爱琴海海边度假胜地</w:t>
            </w:r>
            <w:r>
              <w:rPr>
                <w:rFonts w:hint="eastAsia" w:ascii="微软雅黑" w:hAnsi="微软雅黑" w:eastAsia="微软雅黑" w:cs="微软雅黑"/>
                <w:b/>
                <w:color w:val="FF0000"/>
                <w:sz w:val="18"/>
                <w:szCs w:val="18"/>
              </w:rPr>
              <w:t>库萨达斯</w:t>
            </w:r>
            <w:r>
              <w:rPr>
                <w:rFonts w:hint="eastAsia" w:ascii="微软雅黑" w:hAnsi="微软雅黑" w:eastAsia="微软雅黑" w:cs="微软雅黑"/>
                <w:sz w:val="18"/>
                <w:szCs w:val="18"/>
              </w:rPr>
              <w:t>（车程约4小时），抵达后前往</w:t>
            </w:r>
            <w:r>
              <w:rPr>
                <w:rFonts w:hint="eastAsia" w:ascii="微软雅黑" w:hAnsi="微软雅黑" w:eastAsia="微软雅黑" w:cs="微软雅黑"/>
                <w:b/>
                <w:sz w:val="18"/>
                <w:szCs w:val="18"/>
              </w:rPr>
              <w:t>皮草展示中心</w:t>
            </w:r>
            <w:r>
              <w:rPr>
                <w:rFonts w:hint="eastAsia" w:ascii="微软雅黑" w:hAnsi="微软雅黑" w:eastAsia="微软雅黑" w:cs="微软雅黑"/>
                <w:sz w:val="18"/>
                <w:szCs w:val="18"/>
              </w:rPr>
              <w:t>（入内约1.5小时）在此您可观赏到穿着各种皮草服饰的模特表演，之后前往著名的</w:t>
            </w:r>
            <w:r>
              <w:rPr>
                <w:rFonts w:hint="eastAsia" w:ascii="微软雅黑" w:hAnsi="微软雅黑" w:eastAsia="微软雅黑" w:cs="微软雅黑"/>
                <w:b/>
                <w:sz w:val="18"/>
                <w:szCs w:val="18"/>
              </w:rPr>
              <w:t>糖果店</w:t>
            </w:r>
            <w:r>
              <w:rPr>
                <w:rFonts w:hint="eastAsia" w:ascii="微软雅黑" w:hAnsi="微软雅黑" w:eastAsia="微软雅黑" w:cs="微软雅黑"/>
                <w:sz w:val="18"/>
                <w:szCs w:val="18"/>
              </w:rPr>
              <w:t>（入内约1.5小时）晚餐后入住酒店休息。</w:t>
            </w:r>
          </w:p>
          <w:p>
            <w:pPr>
              <w:spacing w:line="288" w:lineRule="auto"/>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温馨提示：库萨达斯旅游旺季如果没有酒店，我们会安排伊兹密尔同级酒店入住。</w:t>
            </w:r>
          </w:p>
          <w:p>
            <w:pPr>
              <w:jc w:val="left"/>
              <w:rPr>
                <w:rFonts w:ascii="微软雅黑" w:hAnsi="微软雅黑" w:eastAsia="微软雅黑" w:cs="微软雅黑"/>
                <w:sz w:val="18"/>
                <w:szCs w:val="18"/>
              </w:rPr>
            </w:pPr>
            <w:r>
              <w:rPr>
                <w:rFonts w:hint="eastAsia" w:ascii="微软雅黑" w:hAnsi="微软雅黑" w:eastAsia="微软雅黑" w:cs="微软雅黑"/>
                <w:color w:val="7030A0"/>
                <w:sz w:val="18"/>
                <w:szCs w:val="18"/>
              </w:rPr>
              <w:t>小贴士：帕姆卡莱-库萨达斯正常行车时间约4小时。</w:t>
            </w:r>
          </w:p>
        </w:tc>
        <w:tc>
          <w:tcPr>
            <w:tcW w:w="1091"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当地午餐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库萨达斯</w:t>
            </w:r>
          </w:p>
          <w:p>
            <w:pPr>
              <w:jc w:val="center"/>
              <w:rPr>
                <w:rFonts w:ascii="微软雅黑" w:hAnsi="微软雅黑" w:eastAsia="微软雅黑" w:cs="微软雅黑"/>
              </w:rPr>
            </w:pPr>
            <w:r>
              <w:rPr>
                <w:rFonts w:hint="eastAsia" w:ascii="微软雅黑" w:hAnsi="微软雅黑" w:eastAsia="微软雅黑" w:cs="微软雅黑"/>
                <w:sz w:val="18"/>
                <w:szCs w:val="18"/>
              </w:rPr>
              <w:t>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第七天</w:t>
            </w:r>
          </w:p>
          <w:p>
            <w:pPr>
              <w:jc w:val="center"/>
              <w:rPr>
                <w:rFonts w:ascii="微软雅黑" w:hAnsi="微软雅黑" w:eastAsia="微软雅黑" w:cs="微软雅黑"/>
                <w:sz w:val="18"/>
                <w:szCs w:val="18"/>
              </w:rPr>
            </w:pPr>
          </w:p>
        </w:tc>
        <w:tc>
          <w:tcPr>
            <w:tcW w:w="6947" w:type="dxa"/>
          </w:tcPr>
          <w:p>
            <w:pPr>
              <w:tabs>
                <w:tab w:val="left" w:pos="3291"/>
                <w:tab w:val="center" w:pos="5386"/>
              </w:tabs>
              <w:spacing w:line="400" w:lineRule="atLeast"/>
              <w:jc w:val="lef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库萨达斯</w:t>
            </w:r>
            <w:r>
              <w:rPr>
                <w:rFonts w:hint="eastAsia" w:ascii="微软雅黑" w:hAnsi="微软雅黑" w:eastAsia="微软雅黑" w:cs="微软雅黑"/>
                <w:b/>
                <w:sz w:val="18"/>
                <w:szCs w:val="18"/>
              </w:rPr>
              <w:sym w:font="Webdings" w:char="F076"/>
            </w:r>
            <w:r>
              <w:rPr>
                <w:rFonts w:hint="eastAsia" w:ascii="微软雅黑" w:hAnsi="微软雅黑" w:eastAsia="微软雅黑" w:cs="微软雅黑"/>
                <w:b/>
                <w:sz w:val="18"/>
                <w:szCs w:val="18"/>
              </w:rPr>
              <w:t>阿拉恰特</w:t>
            </w:r>
            <w:r>
              <w:rPr>
                <w:rFonts w:hint="eastAsia" w:ascii="微软雅黑" w:hAnsi="微软雅黑" w:eastAsia="微软雅黑" w:cs="微软雅黑"/>
                <w:b/>
                <w:sz w:val="18"/>
                <w:szCs w:val="18"/>
              </w:rPr>
              <w:sym w:font="Webdings" w:char="F076"/>
            </w:r>
            <w:r>
              <w:rPr>
                <w:rFonts w:hint="eastAsia" w:ascii="微软雅黑" w:hAnsi="微软雅黑" w:eastAsia="微软雅黑" w:cs="微软雅黑"/>
                <w:b/>
                <w:color w:val="000000"/>
                <w:sz w:val="18"/>
                <w:szCs w:val="18"/>
              </w:rPr>
              <w:t>艾瓦勒克</w:t>
            </w:r>
          </w:p>
          <w:p>
            <w:pPr>
              <w:widowControl/>
              <w:spacing w:before="90" w:after="90"/>
              <w:jc w:val="left"/>
              <w:rPr>
                <w:rFonts w:ascii="微软雅黑" w:hAnsi="微软雅黑" w:eastAsia="微软雅黑" w:cs="微软雅黑"/>
                <w:sz w:val="18"/>
                <w:szCs w:val="18"/>
              </w:rPr>
            </w:pPr>
            <w:r>
              <w:rPr>
                <w:rFonts w:hint="eastAsia" w:ascii="微软雅黑" w:hAnsi="微软雅黑" w:eastAsia="微软雅黑" w:cs="微软雅黑"/>
                <w:sz w:val="18"/>
                <w:szCs w:val="18"/>
              </w:rPr>
              <w:t>酒店早餐后，前往参观举世闻名的</w:t>
            </w:r>
            <w:r>
              <w:rPr>
                <w:rFonts w:hint="eastAsia" w:ascii="微软雅黑" w:hAnsi="微软雅黑" w:eastAsia="微软雅黑" w:cs="微软雅黑"/>
                <w:b/>
                <w:color w:val="FF0000"/>
                <w:sz w:val="18"/>
                <w:szCs w:val="18"/>
              </w:rPr>
              <w:t>以弗所遗址</w:t>
            </w:r>
            <w:r>
              <w:rPr>
                <w:rFonts w:hint="eastAsia" w:ascii="微软雅黑" w:hAnsi="微软雅黑" w:eastAsia="微软雅黑" w:cs="微软雅黑"/>
                <w:sz w:val="18"/>
                <w:szCs w:val="18"/>
              </w:rPr>
              <w:t>（入内游览时间约：2小时），这里有遗留下来的可容纳二万五千人的露天剧场、市集、浴场和罗马大道等，最重要的算是亚美西斯神殿。后前往爱琴海</w:t>
            </w:r>
            <w:r>
              <w:rPr>
                <w:rFonts w:ascii="微软雅黑" w:hAnsi="微软雅黑" w:eastAsia="微软雅黑" w:cs="微软雅黑"/>
                <w:sz w:val="18"/>
                <w:szCs w:val="18"/>
              </w:rPr>
              <w:t>边的</w:t>
            </w:r>
            <w:r>
              <w:rPr>
                <w:rFonts w:hint="eastAsia" w:ascii="微软雅黑" w:hAnsi="微软雅黑" w:eastAsia="微软雅黑" w:cs="微软雅黑"/>
                <w:b/>
                <w:color w:val="FF0000"/>
                <w:sz w:val="18"/>
                <w:szCs w:val="18"/>
              </w:rPr>
              <w:t>“土耳其小希腊”</w:t>
            </w:r>
            <w:r>
              <w:rPr>
                <w:rFonts w:hint="eastAsia" w:ascii="微软雅黑" w:hAnsi="微软雅黑" w:eastAsia="微软雅黑" w:cs="微软雅黑"/>
                <w:color w:val="000000" w:themeColor="text1"/>
                <w:sz w:val="18"/>
                <w:szCs w:val="18"/>
                <w14:textFill>
                  <w14:solidFill>
                    <w14:schemeClr w14:val="tx1"/>
                  </w14:solidFill>
                </w14:textFill>
              </w:rPr>
              <w:t>之</w:t>
            </w:r>
            <w:r>
              <w:rPr>
                <w:rFonts w:ascii="微软雅黑" w:hAnsi="微软雅黑" w:eastAsia="微软雅黑" w:cs="微软雅黑"/>
                <w:color w:val="000000" w:themeColor="text1"/>
                <w:sz w:val="18"/>
                <w:szCs w:val="18"/>
                <w14:textFill>
                  <w14:solidFill>
                    <w14:schemeClr w14:val="tx1"/>
                  </w14:solidFill>
                </w14:textFill>
              </w:rPr>
              <w:t>称</w:t>
            </w:r>
            <w:r>
              <w:rPr>
                <w:rFonts w:hint="eastAsia" w:ascii="微软雅黑" w:hAnsi="微软雅黑" w:eastAsia="微软雅黑" w:cs="微软雅黑"/>
                <w:color w:val="000000" w:themeColor="text1"/>
                <w:sz w:val="18"/>
                <w:szCs w:val="18"/>
                <w14:textFill>
                  <w14:solidFill>
                    <w14:schemeClr w14:val="tx1"/>
                  </w14:solidFill>
                </w14:textFill>
              </w:rPr>
              <w:t>的</w:t>
            </w:r>
            <w:r>
              <w:rPr>
                <w:rFonts w:hint="eastAsia" w:ascii="微软雅黑" w:hAnsi="微软雅黑" w:eastAsia="微软雅黑" w:cs="微软雅黑"/>
                <w:b/>
                <w:color w:val="FF0000"/>
                <w:sz w:val="18"/>
                <w:szCs w:val="18"/>
              </w:rPr>
              <w:t>阿拉恰特</w:t>
            </w:r>
            <w:r>
              <w:rPr>
                <w:rFonts w:hint="eastAsia" w:ascii="微软雅黑" w:hAnsi="微软雅黑" w:eastAsia="微软雅黑" w:cs="微软雅黑"/>
                <w:sz w:val="18"/>
                <w:szCs w:val="18"/>
              </w:rPr>
              <w:t>（游览时间约：30分</w:t>
            </w:r>
            <w:r>
              <w:rPr>
                <w:rFonts w:ascii="微软雅黑" w:hAnsi="微软雅黑" w:eastAsia="微软雅黑" w:cs="微软雅黑"/>
                <w:sz w:val="18"/>
                <w:szCs w:val="18"/>
              </w:rPr>
              <w:t>钟</w:t>
            </w:r>
            <w:r>
              <w:rPr>
                <w:rFonts w:hint="eastAsia" w:ascii="微软雅黑" w:hAnsi="微软雅黑" w:eastAsia="微软雅黑" w:cs="微软雅黑"/>
                <w:sz w:val="18"/>
                <w:szCs w:val="18"/>
              </w:rPr>
              <w:t>），</w:t>
            </w:r>
            <w:r>
              <w:rPr>
                <w:rFonts w:ascii="微软雅黑" w:hAnsi="微软雅黑" w:eastAsia="微软雅黑" w:cs="微软雅黑"/>
                <w:sz w:val="18"/>
                <w:szCs w:val="18"/>
              </w:rPr>
              <w:t>土耳其西海岸独特的地中海城镇，以其建筑，葡萄园和风车而闻名，已有150多年的历史，其因风帆冲浪和</w:t>
            </w:r>
            <w:r>
              <w:fldChar w:fldCharType="begin"/>
            </w:r>
            <w:r>
              <w:instrText xml:space="preserve"> HYPERLINK "https://baike.baidu.com/item/%E5%86%B2%E6%B5%AA%E9%A3%8E%E7%AD%9D/6757366" \t "_blank" </w:instrText>
            </w:r>
            <w:r>
              <w:fldChar w:fldCharType="separate"/>
            </w:r>
            <w:r>
              <w:rPr>
                <w:rFonts w:ascii="微软雅黑" w:hAnsi="微软雅黑" w:eastAsia="微软雅黑" w:cs="微软雅黑"/>
                <w:sz w:val="18"/>
                <w:szCs w:val="18"/>
              </w:rPr>
              <w:t>冲浪风筝</w:t>
            </w:r>
            <w:r>
              <w:rPr>
                <w:rFonts w:ascii="微软雅黑" w:hAnsi="微软雅黑" w:eastAsia="微软雅黑" w:cs="微软雅黑"/>
                <w:sz w:val="18"/>
                <w:szCs w:val="18"/>
              </w:rPr>
              <w:fldChar w:fldCharType="end"/>
            </w:r>
            <w:r>
              <w:rPr>
                <w:rFonts w:ascii="微软雅黑" w:hAnsi="微软雅黑" w:eastAsia="微软雅黑" w:cs="微软雅黑"/>
                <w:sz w:val="18"/>
                <w:szCs w:val="18"/>
              </w:rPr>
              <w:t>而闻名于世。 平均每年300天，水面清澈，微风拂晓，还有备受赞誉的土耳其酒店。 阿拉恰特是土耳其最正宗的城镇之一，石头房子，狭窄的街道，精品酒店和街头餐桌应有尽有。</w:t>
            </w:r>
            <w:r>
              <w:rPr>
                <w:rFonts w:hint="eastAsia" w:ascii="微软雅黑" w:hAnsi="微软雅黑" w:eastAsia="微软雅黑" w:cs="微软雅黑"/>
                <w:sz w:val="18"/>
                <w:szCs w:val="18"/>
              </w:rPr>
              <w:t>随后前往</w:t>
            </w:r>
            <w:r>
              <w:rPr>
                <w:rFonts w:ascii="微软雅黑" w:hAnsi="微软雅黑" w:eastAsia="微软雅黑" w:cs="微软雅黑"/>
                <w:b/>
                <w:color w:val="FF0000"/>
                <w:sz w:val="18"/>
                <w:szCs w:val="18"/>
              </w:rPr>
              <w:t>切</w:t>
            </w:r>
            <w:r>
              <w:rPr>
                <w:rFonts w:hint="eastAsia" w:ascii="微软雅黑" w:hAnsi="微软雅黑" w:eastAsia="微软雅黑" w:cs="微软雅黑"/>
                <w:b/>
                <w:color w:val="FF0000"/>
                <w:sz w:val="18"/>
                <w:szCs w:val="18"/>
              </w:rPr>
              <w:t>什梅</w:t>
            </w:r>
            <w:r>
              <w:rPr>
                <w:rFonts w:hint="eastAsia" w:ascii="微软雅黑" w:hAnsi="微软雅黑" w:eastAsia="微软雅黑" w:cs="微软雅黑"/>
                <w:sz w:val="18"/>
                <w:szCs w:val="18"/>
              </w:rPr>
              <w:t>，</w:t>
            </w:r>
            <w:r>
              <w:rPr>
                <w:rFonts w:hint="eastAsia" w:ascii="微软雅黑" w:hAnsi="微软雅黑" w:eastAsia="微软雅黑" w:cs="Arial"/>
                <w:color w:val="333333"/>
                <w:sz w:val="18"/>
                <w:szCs w:val="18"/>
                <w:shd w:val="clear" w:color="auto" w:fill="FFFFFF"/>
              </w:rPr>
              <w:t>切什梅是伊兹密尔以西的一座半岛小镇，整个小镇被湛蓝清澈的蓝色海洋包围，是热闹的爱情海海滨传统度假胜地，现在已经成为土耳其爱情海沿岸的一个新时尚度假地。后</w:t>
            </w:r>
            <w:r>
              <w:rPr>
                <w:rFonts w:ascii="微软雅黑" w:hAnsi="微软雅黑" w:eastAsia="微软雅黑" w:cs="Arial"/>
                <w:color w:val="333333"/>
                <w:sz w:val="18"/>
                <w:szCs w:val="18"/>
                <w:shd w:val="clear" w:color="auto" w:fill="FFFFFF"/>
              </w:rPr>
              <w:t>前往艾瓦勒克。</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小贴士：库萨达斯-阿拉恰特的正常车程约2小时。</w:t>
            </w:r>
          </w:p>
          <w:p>
            <w:pPr>
              <w:widowControl/>
              <w:spacing w:before="90" w:after="90"/>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 xml:space="preserve">        阿拉恰特-艾瓦勒克的正常车程约4小时。</w:t>
            </w:r>
          </w:p>
          <w:p>
            <w:pPr>
              <w:widowControl/>
              <w:spacing w:before="90" w:after="90"/>
              <w:jc w:val="left"/>
              <w:rPr>
                <w:rFonts w:ascii="微软雅黑" w:hAnsi="微软雅黑" w:eastAsia="微软雅黑" w:cs="微软雅黑"/>
                <w:sz w:val="18"/>
                <w:szCs w:val="18"/>
              </w:rPr>
            </w:pPr>
            <w:r>
              <w:rPr>
                <w:rFonts w:hint="eastAsia" w:ascii="微软雅黑" w:hAnsi="微软雅黑" w:eastAsia="微软雅黑" w:cs="微软雅黑"/>
                <w:color w:val="7030A0"/>
                <w:sz w:val="18"/>
                <w:szCs w:val="18"/>
              </w:rPr>
              <w:t>温馨提示</w:t>
            </w:r>
            <w:r>
              <w:rPr>
                <w:rFonts w:ascii="微软雅黑" w:hAnsi="微软雅黑" w:eastAsia="微软雅黑" w:cs="微软雅黑"/>
                <w:color w:val="7030A0"/>
                <w:sz w:val="18"/>
                <w:szCs w:val="18"/>
              </w:rPr>
              <w:t>：</w:t>
            </w:r>
            <w:r>
              <w:rPr>
                <w:rFonts w:hint="eastAsia" w:ascii="微软雅黑" w:hAnsi="微软雅黑" w:eastAsia="微软雅黑" w:cs="微软雅黑"/>
                <w:color w:val="7030A0"/>
                <w:sz w:val="18"/>
                <w:szCs w:val="18"/>
              </w:rPr>
              <w:t>今天</w:t>
            </w:r>
            <w:r>
              <w:rPr>
                <w:rFonts w:ascii="微软雅黑" w:hAnsi="微软雅黑" w:eastAsia="微软雅黑" w:cs="微软雅黑"/>
                <w:color w:val="7030A0"/>
                <w:sz w:val="18"/>
                <w:szCs w:val="18"/>
              </w:rPr>
              <w:t>午餐需要自理，请提前准备干粮。</w:t>
            </w:r>
          </w:p>
        </w:tc>
        <w:tc>
          <w:tcPr>
            <w:tcW w:w="1091" w:type="dxa"/>
          </w:tcPr>
          <w:p>
            <w:pPr>
              <w:jc w:val="center"/>
              <w:rPr>
                <w:rFonts w:ascii="微软雅黑" w:hAnsi="微软雅黑" w:eastAsia="微软雅黑" w:cs="微软雅黑"/>
                <w:sz w:val="18"/>
                <w:szCs w:val="18"/>
              </w:rPr>
            </w:pPr>
          </w:p>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highlight w:val="yellow"/>
              </w:rPr>
              <w:t>午餐自理</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酒店晚餐</w:t>
            </w:r>
          </w:p>
        </w:tc>
        <w:tc>
          <w:tcPr>
            <w:tcW w:w="1401" w:type="dxa"/>
          </w:tcPr>
          <w:p>
            <w:pPr>
              <w:jc w:val="center"/>
              <w:rPr>
                <w:rFonts w:ascii="微软雅黑" w:hAnsi="微软雅黑" w:eastAsia="微软雅黑" w:cs="微软雅黑"/>
                <w:sz w:val="18"/>
                <w:szCs w:val="18"/>
              </w:rPr>
            </w:pPr>
          </w:p>
          <w:p>
            <w:pPr>
              <w:rPr>
                <w:rFonts w:ascii="微软雅黑" w:hAnsi="微软雅黑" w:eastAsia="微软雅黑" w:cs="微软雅黑"/>
                <w:sz w:val="18"/>
                <w:szCs w:val="18"/>
              </w:rPr>
            </w:pPr>
          </w:p>
          <w:p>
            <w:pPr>
              <w:jc w:val="center"/>
              <w:rPr>
                <w:rFonts w:ascii="微软雅黑" w:hAnsi="微软雅黑" w:eastAsia="微软雅黑" w:cs="微软雅黑"/>
                <w:sz w:val="18"/>
                <w:szCs w:val="18"/>
              </w:rPr>
            </w:pPr>
            <w:r>
              <w:rPr>
                <w:rFonts w:hint="eastAsia" w:ascii="微软雅黑" w:hAnsi="微软雅黑" w:eastAsia="微软雅黑" w:cs="微软雅黑"/>
              </w:rPr>
              <w:drawing>
                <wp:anchor distT="0" distB="0" distL="114300" distR="114300" simplePos="0" relativeHeight="251658240" behindDoc="1" locked="0" layoutInCell="1" allowOverlap="1">
                  <wp:simplePos x="0" y="0"/>
                  <wp:positionH relativeFrom="column">
                    <wp:posOffset>3195320</wp:posOffset>
                  </wp:positionH>
                  <wp:positionV relativeFrom="paragraph">
                    <wp:posOffset>-193040</wp:posOffset>
                  </wp:positionV>
                  <wp:extent cx="7572375" cy="10706100"/>
                  <wp:effectExtent l="0" t="0" r="9525" b="0"/>
                  <wp:wrapNone/>
                  <wp:docPr id="5"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微软雅黑" w:hAnsi="微软雅黑" w:eastAsia="微软雅黑" w:cs="微软雅黑"/>
              </w:rPr>
              <w:t>艾瓦勒克</w:t>
            </w:r>
          </w:p>
          <w:p>
            <w:pPr>
              <w:jc w:val="center"/>
              <w:rPr>
                <w:rFonts w:ascii="微软雅黑" w:hAnsi="微软雅黑" w:eastAsia="微软雅黑" w:cs="微软雅黑"/>
              </w:rPr>
            </w:pPr>
            <w:r>
              <w:rPr>
                <w:rFonts w:hint="eastAsia" w:ascii="微软雅黑" w:hAnsi="微软雅黑" w:eastAsia="微软雅黑" w:cs="微软雅黑"/>
                <w:sz w:val="18"/>
                <w:szCs w:val="18"/>
              </w:rPr>
              <w:t>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第八天</w:t>
            </w:r>
          </w:p>
        </w:tc>
        <w:tc>
          <w:tcPr>
            <w:tcW w:w="6947" w:type="dxa"/>
          </w:tcPr>
          <w:p>
            <w:pPr>
              <w:tabs>
                <w:tab w:val="left" w:pos="3291"/>
                <w:tab w:val="center" w:pos="5386"/>
              </w:tabs>
              <w:spacing w:line="400" w:lineRule="atLeast"/>
              <w:jc w:val="lef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艾瓦勒克-恰纳卡莱-伊斯坦布尔</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酒店早餐后前往恰纳卡莱，抵达后乘车前往</w:t>
            </w:r>
            <w:r>
              <w:rPr>
                <w:rFonts w:hint="eastAsia" w:ascii="微软雅黑" w:hAnsi="微软雅黑" w:eastAsia="微软雅黑" w:cs="微软雅黑"/>
                <w:b/>
                <w:bCs/>
                <w:color w:val="FF0000"/>
                <w:sz w:val="18"/>
                <w:szCs w:val="18"/>
              </w:rPr>
              <w:t>【特洛伊古城】</w:t>
            </w:r>
            <w:r>
              <w:rPr>
                <w:rFonts w:hint="eastAsia" w:ascii="微软雅黑" w:hAnsi="微软雅黑" w:eastAsia="微软雅黑" w:cs="微软雅黑"/>
                <w:sz w:val="18"/>
                <w:szCs w:val="18"/>
              </w:rPr>
              <w:t>，参观著名荷马史诗中的伟大著作之一《伊利亚特》中所述说的有关远古时期因希腊皇后海伦而引发的一场特洛伊古城的十年战争现场，还可以观赏到因“木马屠城记”而获胜的</w:t>
            </w:r>
            <w:r>
              <w:rPr>
                <w:rFonts w:hint="eastAsia" w:ascii="微软雅黑" w:hAnsi="微软雅黑" w:eastAsia="微软雅黑" w:cs="微软雅黑"/>
                <w:b/>
                <w:bCs/>
                <w:color w:val="FF0000"/>
                <w:sz w:val="18"/>
                <w:szCs w:val="18"/>
              </w:rPr>
              <w:t>【巨大木马】</w:t>
            </w:r>
            <w:r>
              <w:rPr>
                <w:rFonts w:hint="eastAsia" w:ascii="微软雅黑" w:hAnsi="微软雅黑" w:eastAsia="微软雅黑" w:cs="微软雅黑"/>
                <w:sz w:val="18"/>
                <w:szCs w:val="18"/>
              </w:rPr>
              <w:t>（入内游览时间约：30分钟）。古城曾以古代文明的中心闻名，美女海伦、特洛伊王子还在耳边细语当年特洛伊木马的传奇。之后前往</w:t>
            </w:r>
            <w:r>
              <w:rPr>
                <w:rFonts w:hint="eastAsia" w:ascii="微软雅黑" w:hAnsi="微软雅黑" w:eastAsia="微软雅黑" w:cs="微软雅黑"/>
                <w:color w:val="000000"/>
                <w:sz w:val="18"/>
                <w:szCs w:val="18"/>
              </w:rPr>
              <w:t>伊斯坦布尔</w:t>
            </w:r>
            <w:r>
              <w:rPr>
                <w:rFonts w:hint="eastAsia" w:ascii="微软雅黑" w:hAnsi="微软雅黑" w:eastAsia="微软雅黑" w:cs="微软雅黑"/>
                <w:sz w:val="18"/>
                <w:szCs w:val="18"/>
              </w:rPr>
              <w:t>，晚餐后入住酒店休息。</w:t>
            </w:r>
          </w:p>
          <w:p>
            <w:pPr>
              <w:jc w:val="left"/>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小贴士：伊斯坦布尔-恰纳卡莱的正常车程约5小时。</w:t>
            </w:r>
          </w:p>
          <w:p>
            <w:pPr>
              <w:tabs>
                <w:tab w:val="left" w:pos="3291"/>
                <w:tab w:val="center" w:pos="5386"/>
              </w:tabs>
              <w:spacing w:line="400" w:lineRule="atLeast"/>
              <w:jc w:val="left"/>
              <w:rPr>
                <w:rFonts w:ascii="微软雅黑" w:hAnsi="微软雅黑" w:eastAsia="微软雅黑" w:cs="微软雅黑"/>
                <w:sz w:val="18"/>
                <w:szCs w:val="18"/>
              </w:rPr>
            </w:pPr>
            <w:r>
              <w:rPr>
                <w:rFonts w:hint="eastAsia" w:ascii="微软雅黑" w:hAnsi="微软雅黑" w:eastAsia="微软雅黑" w:cs="微软雅黑"/>
                <w:color w:val="7030A0"/>
                <w:sz w:val="18"/>
                <w:szCs w:val="18"/>
              </w:rPr>
              <w:t xml:space="preserve">         恰纳卡莱-艾瓦勒克的正常车程约1.5小时。</w:t>
            </w:r>
          </w:p>
        </w:tc>
        <w:tc>
          <w:tcPr>
            <w:tcW w:w="1091"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bCs/>
                <w:sz w:val="18"/>
                <w:szCs w:val="18"/>
              </w:rPr>
            </w:pPr>
            <w:r>
              <w:rPr>
                <w:rFonts w:hint="eastAsia" w:ascii="微软雅黑" w:hAnsi="微软雅黑" w:eastAsia="微软雅黑" w:cs="微软雅黑"/>
                <w:sz w:val="18"/>
                <w:szCs w:val="18"/>
              </w:rPr>
              <w:t>当地</w:t>
            </w:r>
            <w:r>
              <w:rPr>
                <w:rFonts w:hint="eastAsia" w:ascii="微软雅黑" w:hAnsi="微软雅黑" w:eastAsia="微软雅黑" w:cs="微软雅黑"/>
                <w:bCs/>
                <w:sz w:val="18"/>
                <w:szCs w:val="18"/>
              </w:rPr>
              <w:t>午餐</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lang w:eastAsia="zh-CN"/>
              </w:rPr>
              <w:t>酒店</w:t>
            </w:r>
            <w:bookmarkStart w:id="0" w:name="_GoBack"/>
            <w:bookmarkEnd w:id="0"/>
            <w:r>
              <w:rPr>
                <w:rFonts w:hint="eastAsia" w:ascii="微软雅黑" w:hAnsi="微软雅黑" w:eastAsia="微软雅黑" w:cs="微软雅黑"/>
                <w:sz w:val="18"/>
                <w:szCs w:val="18"/>
              </w:rPr>
              <w:t>晚餐</w:t>
            </w:r>
          </w:p>
        </w:tc>
        <w:tc>
          <w:tcPr>
            <w:tcW w:w="1401" w:type="dxa"/>
          </w:tcPr>
          <w:p>
            <w:pPr>
              <w:jc w:val="center"/>
              <w:rPr>
                <w:rFonts w:ascii="微软雅黑" w:hAnsi="微软雅黑" w:eastAsia="微软雅黑" w:cs="微软雅黑"/>
                <w:sz w:val="18"/>
                <w:szCs w:val="18"/>
              </w:rPr>
            </w:pPr>
            <w:r>
              <w:rPr>
                <w:rFonts w:hint="eastAsia" w:ascii="微软雅黑" w:hAnsi="微软雅黑" w:eastAsia="微软雅黑" w:cs="微软雅黑"/>
              </w:rPr>
              <w:drawing>
                <wp:anchor distT="0" distB="0" distL="114300" distR="114300" simplePos="0" relativeHeight="252242944" behindDoc="1" locked="0" layoutInCell="1" allowOverlap="1">
                  <wp:simplePos x="0" y="0"/>
                  <wp:positionH relativeFrom="column">
                    <wp:posOffset>3195320</wp:posOffset>
                  </wp:positionH>
                  <wp:positionV relativeFrom="paragraph">
                    <wp:posOffset>-193040</wp:posOffset>
                  </wp:positionV>
                  <wp:extent cx="7572375" cy="10706100"/>
                  <wp:effectExtent l="0" t="0" r="9525" b="0"/>
                  <wp:wrapNone/>
                  <wp:docPr id="6"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微软雅黑" w:hAnsi="微软雅黑" w:eastAsia="微软雅黑" w:cs="微软雅黑"/>
                <w:sz w:val="18"/>
                <w:szCs w:val="18"/>
              </w:rPr>
              <w:t>伊斯坦布尔</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Borders>
              <w:bottom w:val="double" w:color="7030A0" w:sz="4" w:space="0"/>
            </w:tcBorders>
          </w:tcPr>
          <w:p>
            <w:pPr>
              <w:rPr>
                <w:rFonts w:ascii="微软雅黑" w:hAnsi="微软雅黑" w:eastAsia="微软雅黑" w:cs="微软雅黑"/>
                <w:sz w:val="18"/>
                <w:szCs w:val="18"/>
              </w:rPr>
            </w:pPr>
          </w:p>
          <w:p>
            <w:pPr>
              <w:rPr>
                <w:rFonts w:ascii="微软雅黑" w:hAnsi="微软雅黑" w:eastAsia="微软雅黑" w:cs="微软雅黑"/>
                <w:sz w:val="18"/>
                <w:szCs w:val="18"/>
              </w:rPr>
            </w:pPr>
            <w:r>
              <w:rPr>
                <w:rFonts w:hint="eastAsia" w:ascii="微软雅黑" w:hAnsi="微软雅黑" w:eastAsia="微软雅黑" w:cs="微软雅黑"/>
                <w:sz w:val="18"/>
                <w:szCs w:val="18"/>
              </w:rPr>
              <w:t>第九天</w:t>
            </w:r>
          </w:p>
          <w:p>
            <w:pPr>
              <w:jc w:val="center"/>
              <w:rPr>
                <w:rFonts w:ascii="微软雅黑" w:hAnsi="微软雅黑" w:eastAsia="微软雅黑" w:cs="微软雅黑"/>
                <w:sz w:val="18"/>
                <w:szCs w:val="18"/>
              </w:rPr>
            </w:pPr>
          </w:p>
        </w:tc>
        <w:tc>
          <w:tcPr>
            <w:tcW w:w="6947" w:type="dxa"/>
            <w:tcBorders>
              <w:bottom w:val="double" w:color="7030A0" w:sz="4" w:space="0"/>
            </w:tcBorders>
          </w:tcPr>
          <w:p>
            <w:pPr>
              <w:tabs>
                <w:tab w:val="left" w:pos="3291"/>
                <w:tab w:val="center" w:pos="5386"/>
              </w:tabs>
              <w:spacing w:line="400" w:lineRule="atLeast"/>
              <w:jc w:val="left"/>
              <w:rPr>
                <w:rFonts w:ascii="微软雅黑" w:hAnsi="微软雅黑" w:eastAsia="微软雅黑" w:cs="微软雅黑"/>
                <w:b/>
                <w:color w:val="000000"/>
                <w:sz w:val="18"/>
                <w:szCs w:val="18"/>
              </w:rPr>
            </w:pPr>
            <w:r>
              <w:rPr>
                <w:rFonts w:hint="eastAsia" w:ascii="微软雅黑" w:hAnsi="微软雅黑" w:eastAsia="微软雅黑" w:cs="微软雅黑"/>
                <w:b/>
                <w:color w:val="000000"/>
                <w:sz w:val="18"/>
                <w:szCs w:val="18"/>
              </w:rPr>
              <w:t>伊斯坦布尔</w:t>
            </w:r>
          </w:p>
          <w:p>
            <w:pPr>
              <w:pStyle w:val="9"/>
              <w:shd w:val="clear" w:color="auto" w:fill="FFFFFF"/>
              <w:spacing w:before="0" w:beforeAutospacing="0" w:after="0" w:afterAutospacing="0"/>
              <w:rPr>
                <w:rFonts w:ascii="微软雅黑" w:hAnsi="微软雅黑" w:eastAsia="微软雅黑" w:cs="微软雅黑"/>
                <w:bCs/>
                <w:sz w:val="18"/>
                <w:szCs w:val="18"/>
              </w:rPr>
            </w:pPr>
            <w:r>
              <w:rPr>
                <w:rFonts w:hint="eastAsia" w:ascii="微软雅黑" w:hAnsi="微软雅黑" w:eastAsia="微软雅黑" w:cs="微软雅黑"/>
                <w:color w:val="000000"/>
                <w:sz w:val="18"/>
                <w:szCs w:val="18"/>
              </w:rPr>
              <w:t>酒店早餐后</w:t>
            </w:r>
            <w:r>
              <w:rPr>
                <w:rFonts w:hint="eastAsia" w:ascii="微软雅黑" w:hAnsi="微软雅黑" w:eastAsia="微软雅黑" w:cs="微软雅黑"/>
                <w:sz w:val="18"/>
                <w:szCs w:val="18"/>
              </w:rPr>
              <w:t>前往参观</w:t>
            </w:r>
            <w:r>
              <w:rPr>
                <w:rFonts w:hint="eastAsia" w:ascii="微软雅黑" w:hAnsi="微软雅黑" w:eastAsia="微软雅黑" w:cs="微软雅黑"/>
                <w:b/>
                <w:bCs/>
                <w:color w:val="FF0000"/>
                <w:sz w:val="18"/>
                <w:szCs w:val="18"/>
              </w:rPr>
              <w:t>【古罗马竞技场】</w:t>
            </w:r>
            <w:r>
              <w:rPr>
                <w:rFonts w:hint="eastAsia" w:ascii="微软雅黑" w:hAnsi="微软雅黑" w:eastAsia="微软雅黑" w:cs="微软雅黑"/>
                <w:sz w:val="18"/>
                <w:szCs w:val="18"/>
              </w:rPr>
              <w:t xml:space="preserve"> (外观约20分钟)。现在被称为苏丹阿合麦特广场。在该广场有3个纪念碑：塞奥道西斯的</w:t>
            </w:r>
            <w:r>
              <w:rPr>
                <w:rFonts w:hint="eastAsia" w:ascii="微软雅黑" w:hAnsi="微软雅黑" w:eastAsia="微软雅黑" w:cs="微软雅黑"/>
                <w:b/>
                <w:bCs/>
                <w:color w:val="FF0000"/>
                <w:sz w:val="18"/>
                <w:szCs w:val="18"/>
              </w:rPr>
              <w:t>【奥拜里斯克方尖碑】</w:t>
            </w:r>
            <w:r>
              <w:rPr>
                <w:rFonts w:hint="eastAsia" w:ascii="微软雅黑" w:hAnsi="微软雅黑" w:eastAsia="微软雅黑" w:cs="微软雅黑"/>
                <w:sz w:val="18"/>
                <w:szCs w:val="18"/>
              </w:rPr>
              <w:t>、</w:t>
            </w:r>
            <w:r>
              <w:rPr>
                <w:rFonts w:hint="eastAsia" w:ascii="微软雅黑" w:hAnsi="微软雅黑" w:eastAsia="微软雅黑" w:cs="微软雅黑"/>
                <w:b/>
                <w:bCs/>
                <w:color w:val="FF0000"/>
                <w:sz w:val="18"/>
                <w:szCs w:val="18"/>
              </w:rPr>
              <w:t>【青铜制的蛇柱】</w:t>
            </w:r>
            <w:r>
              <w:rPr>
                <w:rFonts w:hint="eastAsia" w:ascii="微软雅黑" w:hAnsi="微软雅黑" w:eastAsia="微软雅黑" w:cs="微软雅黑"/>
                <w:sz w:val="18"/>
                <w:szCs w:val="18"/>
              </w:rPr>
              <w:t>及君士坦丁</w:t>
            </w:r>
            <w:r>
              <w:rPr>
                <w:rFonts w:hint="eastAsia" w:ascii="微软雅黑" w:hAnsi="微软雅黑" w:eastAsia="微软雅黑" w:cs="微软雅黑"/>
                <w:b/>
                <w:bCs/>
                <w:color w:val="FF0000"/>
                <w:sz w:val="18"/>
                <w:szCs w:val="18"/>
              </w:rPr>
              <w:t>【奥拜里斯克方尖碑】</w:t>
            </w:r>
            <w:r>
              <w:rPr>
                <w:rFonts w:hint="eastAsia" w:ascii="微软雅黑" w:hAnsi="微软雅黑" w:eastAsia="微软雅黑" w:cs="微软雅黑"/>
                <w:sz w:val="18"/>
                <w:szCs w:val="18"/>
              </w:rPr>
              <w:t>。前往参观奥斯曼土耳其时期的代表性建筑-</w:t>
            </w:r>
            <w:r>
              <w:rPr>
                <w:rFonts w:hint="eastAsia" w:ascii="微软雅黑" w:hAnsi="微软雅黑" w:eastAsia="微软雅黑" w:cs="微软雅黑"/>
                <w:b/>
                <w:bCs/>
                <w:color w:val="FF0000"/>
                <w:sz w:val="18"/>
                <w:szCs w:val="18"/>
              </w:rPr>
              <w:t>【蓝色清真寺】</w:t>
            </w:r>
            <w:r>
              <w:rPr>
                <w:rFonts w:hint="eastAsia" w:ascii="微软雅黑" w:hAnsi="微软雅黑" w:eastAsia="微软雅黑" w:cs="微软雅黑"/>
                <w:sz w:val="18"/>
                <w:szCs w:val="18"/>
              </w:rPr>
              <w:t>（入内游览时间约：1小时），蓝色清真寺是是回教世界最优秀的建筑师锡南(Sinan)的得意弟子Mehmet Aga的作品，也是伊斯坦堡最具代表性的大清真寺，其正式名称为苏丹艾哈迈德清真寺，但因内部铺有超过2万片的蓝色伊兹尼克磁砖，故又被称为蓝色清真寺。</w:t>
            </w:r>
            <w:r>
              <w:rPr>
                <w:rFonts w:hint="eastAsia" w:ascii="微软雅黑" w:hAnsi="微软雅黑" w:eastAsia="微软雅黑" w:cs="微软雅黑"/>
                <w:color w:val="000000"/>
                <w:sz w:val="18"/>
                <w:szCs w:val="18"/>
              </w:rPr>
              <w:t>之后参观与伦敦圣保罗、梵蒂冈的圣彼得齐名的</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b/>
                <w:color w:val="FF0000"/>
                <w:sz w:val="18"/>
                <w:szCs w:val="18"/>
              </w:rPr>
              <w:t>圣索菲亚大教堂</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sz w:val="18"/>
                <w:szCs w:val="18"/>
              </w:rPr>
              <w:t>（外观）圣索菲亚大教堂是世界中古七大奇迹之一，也是伊斯坦布尔足以笑傲天下的恢宏建筑。之后前往</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b/>
                <w:color w:val="FF0000"/>
                <w:sz w:val="18"/>
                <w:szCs w:val="18"/>
              </w:rPr>
              <w:t>托普卡普老皇宫</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sz w:val="18"/>
                <w:szCs w:val="18"/>
              </w:rPr>
              <w:t>（入内游览时间约：1.5小时）托普卡帕宫是1465年-1853年间奥斯曼帝国苏丹在城内的官邸及主要居所，如今被改造为一处博物馆，向世人展示着皇族生活的过往及令人称奇的珍宝。</w:t>
            </w:r>
            <w:r>
              <w:rPr>
                <w:rFonts w:hint="eastAsia" w:ascii="微软雅黑" w:hAnsi="微软雅黑" w:eastAsia="微软雅黑" w:cs="微软雅黑"/>
                <w:bCs/>
                <w:sz w:val="18"/>
                <w:szCs w:val="18"/>
              </w:rPr>
              <w:t>之后前往TIERA</w:t>
            </w:r>
            <w:r>
              <w:rPr>
                <w:rFonts w:hint="eastAsia" w:ascii="微软雅黑" w:hAnsi="微软雅黑" w:eastAsia="微软雅黑" w:cs="微软雅黑"/>
                <w:sz w:val="18"/>
                <w:szCs w:val="18"/>
              </w:rPr>
              <w:t>（或其他）</w:t>
            </w:r>
            <w:r>
              <w:rPr>
                <w:rFonts w:hint="eastAsia" w:ascii="微软雅黑" w:hAnsi="微软雅黑" w:eastAsia="微软雅黑" w:cs="微软雅黑"/>
                <w:b/>
                <w:bCs/>
                <w:sz w:val="18"/>
                <w:szCs w:val="18"/>
              </w:rPr>
              <w:t>珠宝店</w:t>
            </w:r>
            <w:r>
              <w:rPr>
                <w:rFonts w:hint="eastAsia" w:ascii="微软雅黑" w:hAnsi="微软雅黑" w:eastAsia="微软雅黑" w:cs="微软雅黑"/>
                <w:bCs/>
                <w:sz w:val="18"/>
                <w:szCs w:val="18"/>
              </w:rPr>
              <w:t>参观约1.5小时，伊斯坦布尔绝对是珠宝爱好者的天堂，这里珠宝样式繁多，从简单的串珠项链到设计奢华的珠宝艺术品、从极具时尚感的珠宝饰品到精致优雅的复古珠宝，应有尽有。</w:t>
            </w:r>
            <w:r>
              <w:rPr>
                <w:rFonts w:hint="eastAsia" w:ascii="微软雅黑" w:hAnsi="微软雅黑" w:eastAsia="微软雅黑" w:cs="微软雅黑"/>
                <w:sz w:val="18"/>
                <w:szCs w:val="18"/>
              </w:rPr>
              <w:t>随后前往</w:t>
            </w:r>
            <w:r>
              <w:rPr>
                <w:rFonts w:hint="eastAsia" w:ascii="微软雅黑" w:hAnsi="微软雅黑" w:eastAsia="微软雅黑" w:cs="微软雅黑"/>
                <w:bCs/>
                <w:sz w:val="18"/>
                <w:szCs w:val="18"/>
              </w:rPr>
              <w:t>世界上最大的室内市场之一的——</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b/>
                <w:color w:val="FF0000"/>
                <w:sz w:val="18"/>
                <w:szCs w:val="18"/>
              </w:rPr>
              <w:t>土耳其大巴扎</w:t>
            </w:r>
            <w:r>
              <w:rPr>
                <w:rFonts w:hint="eastAsia" w:ascii="微软雅黑" w:hAnsi="微软雅黑" w:eastAsia="微软雅黑" w:cs="微软雅黑"/>
                <w:b/>
                <w:bCs/>
                <w:color w:val="FF0000"/>
                <w:sz w:val="18"/>
                <w:szCs w:val="18"/>
              </w:rPr>
              <w:t>】</w:t>
            </w:r>
            <w:r>
              <w:rPr>
                <w:rFonts w:hint="eastAsia" w:ascii="微软雅黑" w:hAnsi="微软雅黑" w:eastAsia="微软雅黑" w:cs="微软雅黑"/>
                <w:sz w:val="18"/>
                <w:szCs w:val="18"/>
              </w:rPr>
              <w:t>游览（约1.5小时）</w:t>
            </w:r>
            <w:r>
              <w:rPr>
                <w:rFonts w:hint="eastAsia" w:ascii="微软雅黑" w:hAnsi="微软雅黑" w:eastAsia="微软雅黑" w:cs="微软雅黑"/>
                <w:bCs/>
                <w:sz w:val="18"/>
                <w:szCs w:val="18"/>
              </w:rPr>
              <w:t>，您可以在此购买到各种极具特色的当地商品。晚餐后送回酒店休息。</w:t>
            </w:r>
          </w:p>
          <w:p>
            <w:pPr>
              <w:tabs>
                <w:tab w:val="left" w:pos="3291"/>
                <w:tab w:val="center" w:pos="5386"/>
              </w:tabs>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温馨提示：</w:t>
            </w:r>
          </w:p>
          <w:p>
            <w:pPr>
              <w:tabs>
                <w:tab w:val="left" w:pos="3291"/>
                <w:tab w:val="center" w:pos="5386"/>
              </w:tabs>
              <w:rPr>
                <w:rFonts w:ascii="微软雅黑" w:hAnsi="微软雅黑" w:eastAsia="微软雅黑" w:cs="微软雅黑"/>
                <w:color w:val="7030A0"/>
                <w:sz w:val="18"/>
                <w:szCs w:val="18"/>
              </w:rPr>
            </w:pPr>
            <w:r>
              <w:rPr>
                <w:rFonts w:hint="eastAsia" w:ascii="微软雅黑" w:hAnsi="微软雅黑" w:eastAsia="微软雅黑" w:cs="微软雅黑"/>
                <w:color w:val="7030A0"/>
                <w:sz w:val="18"/>
                <w:szCs w:val="18"/>
              </w:rPr>
              <w:t>1、由于土耳其政府规定，托普卡帕老皇宫于周二闭馆，如遇闭馆或政府行为等不可抗力因素，则调整为地下水宫或新皇宫入内参观，敬请知晓。</w:t>
            </w:r>
          </w:p>
          <w:p>
            <w:pPr>
              <w:tabs>
                <w:tab w:val="left" w:pos="3291"/>
                <w:tab w:val="center" w:pos="5386"/>
              </w:tabs>
              <w:spacing w:line="400" w:lineRule="atLeast"/>
              <w:jc w:val="left"/>
              <w:rPr>
                <w:rFonts w:ascii="微软雅黑" w:hAnsi="微软雅黑" w:eastAsia="微软雅黑" w:cs="微软雅黑"/>
                <w:sz w:val="18"/>
                <w:szCs w:val="18"/>
              </w:rPr>
            </w:pPr>
            <w:r>
              <w:rPr>
                <w:rFonts w:hint="eastAsia" w:ascii="微软雅黑" w:hAnsi="微软雅黑" w:eastAsia="微软雅黑" w:cs="微软雅黑"/>
                <w:color w:val="7030A0"/>
                <w:sz w:val="18"/>
                <w:szCs w:val="18"/>
              </w:rPr>
              <w:t>2、参观大巴扎自由市场时请保管好自己的随身物品。大巴扎周日不营业，如遇关闭，则调整为香料市场或塔克希姆广场自由活动。敬请知晓。</w:t>
            </w:r>
          </w:p>
        </w:tc>
        <w:tc>
          <w:tcPr>
            <w:tcW w:w="1091" w:type="dxa"/>
            <w:tcBorders>
              <w:bottom w:val="double" w:color="7030A0"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sz w:val="18"/>
                <w:szCs w:val="18"/>
              </w:rPr>
            </w:pPr>
            <w:r>
              <w:rPr>
                <w:rFonts w:hint="eastAsia" w:ascii="微软雅黑" w:hAnsi="微软雅黑" w:eastAsia="微软雅黑" w:cs="微软雅黑"/>
                <w:bCs/>
                <w:sz w:val="18"/>
                <w:szCs w:val="18"/>
              </w:rPr>
              <w:t>旋转烤肉或烤鱼</w:t>
            </w:r>
          </w:p>
          <w:p>
            <w:pPr>
              <w:jc w:val="center"/>
              <w:rPr>
                <w:rFonts w:ascii="微软雅黑" w:hAnsi="微软雅黑" w:eastAsia="微软雅黑" w:cs="微软雅黑"/>
                <w:sz w:val="18"/>
                <w:szCs w:val="18"/>
              </w:rPr>
            </w:pPr>
            <w:r>
              <w:rPr>
                <w:rFonts w:hint="eastAsia" w:ascii="微软雅黑" w:hAnsi="微软雅黑" w:eastAsia="微软雅黑" w:cs="微软雅黑"/>
                <w:color w:val="FF0000"/>
                <w:sz w:val="18"/>
                <w:szCs w:val="18"/>
              </w:rPr>
              <w:t>中式晚餐</w:t>
            </w:r>
          </w:p>
        </w:tc>
        <w:tc>
          <w:tcPr>
            <w:tcW w:w="1401" w:type="dxa"/>
            <w:tcBorders>
              <w:bottom w:val="double" w:color="7030A0" w:sz="4" w:space="0"/>
            </w:tcBorders>
          </w:tcPr>
          <w:p>
            <w:pPr>
              <w:jc w:val="center"/>
              <w:rPr>
                <w:rFonts w:ascii="微软雅黑" w:hAnsi="微软雅黑" w:eastAsia="微软雅黑" w:cs="微软雅黑"/>
              </w:rPr>
            </w:pPr>
            <w:r>
              <w:rPr>
                <w:rFonts w:hint="eastAsia" w:ascii="微软雅黑" w:hAnsi="微软雅黑" w:eastAsia="微软雅黑" w:cs="微软雅黑"/>
                <w:sz w:val="18"/>
                <w:szCs w:val="18"/>
              </w:rPr>
              <w:t>伊斯坦布尔当地网评五星酒店</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Pr>
          <w:p>
            <w:pPr>
              <w:rPr>
                <w:rFonts w:ascii="微软雅黑" w:hAnsi="微软雅黑" w:eastAsia="微软雅黑" w:cs="微软雅黑"/>
                <w:sz w:val="18"/>
                <w:szCs w:val="18"/>
              </w:rPr>
            </w:pPr>
          </w:p>
          <w:p>
            <w:pPr>
              <w:rPr>
                <w:rFonts w:ascii="微软雅黑" w:hAnsi="微软雅黑" w:eastAsia="微软雅黑" w:cs="微软雅黑"/>
                <w:sz w:val="18"/>
                <w:szCs w:val="18"/>
              </w:rPr>
            </w:pPr>
            <w:r>
              <w:rPr>
                <w:rFonts w:hint="eastAsia" w:ascii="微软雅黑" w:hAnsi="微软雅黑" w:eastAsia="微软雅黑" w:cs="微软雅黑"/>
                <w:sz w:val="18"/>
                <w:szCs w:val="18"/>
              </w:rPr>
              <w:t>第十天</w:t>
            </w:r>
          </w:p>
          <w:p>
            <w:pPr>
              <w:jc w:val="center"/>
              <w:rPr>
                <w:rFonts w:ascii="微软雅黑" w:hAnsi="微软雅黑" w:eastAsia="微软雅黑" w:cs="微软雅黑"/>
                <w:sz w:val="18"/>
                <w:szCs w:val="18"/>
              </w:rPr>
            </w:pPr>
          </w:p>
        </w:tc>
        <w:tc>
          <w:tcPr>
            <w:tcW w:w="6947" w:type="dxa"/>
          </w:tcPr>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伊斯坦布尔</w:t>
            </w:r>
            <w:r>
              <w:rPr>
                <w:rFonts w:hint="eastAsia" w:ascii="微软雅黑" w:hAnsi="微软雅黑" w:eastAsia="微软雅黑" w:cs="微软雅黑"/>
                <w:b/>
                <w:bCs/>
                <w:sz w:val="18"/>
                <w:szCs w:val="18"/>
              </w:rPr>
              <w:sym w:font="Wingdings" w:char="F051"/>
            </w:r>
            <w:r>
              <w:rPr>
                <w:rFonts w:hint="eastAsia" w:ascii="微软雅黑" w:hAnsi="微软雅黑" w:eastAsia="微软雅黑" w:cs="微软雅黑"/>
                <w:b/>
                <w:bCs/>
                <w:sz w:val="18"/>
                <w:szCs w:val="18"/>
              </w:rPr>
              <w:t xml:space="preserve">武汉   </w:t>
            </w:r>
            <w:r>
              <w:rPr>
                <w:rFonts w:hint="eastAsia" w:ascii="微软雅黑" w:hAnsi="微软雅黑" w:eastAsia="微软雅黑" w:cs="微软雅黑"/>
                <w:b/>
                <w:bCs/>
                <w:color w:val="FF0000"/>
                <w:sz w:val="18"/>
                <w:szCs w:val="18"/>
              </w:rPr>
              <w:t>参考航班CZ8342   23:00-14:00+1</w:t>
            </w:r>
          </w:p>
          <w:p>
            <w:pPr>
              <w:tabs>
                <w:tab w:val="left" w:pos="3291"/>
                <w:tab w:val="center" w:pos="5386"/>
              </w:tabs>
              <w:spacing w:line="400" w:lineRule="atLeast"/>
              <w:rPr>
                <w:rFonts w:ascii="微软雅黑" w:hAnsi="微软雅黑" w:eastAsia="微软雅黑" w:cs="微软雅黑"/>
                <w:sz w:val="18"/>
                <w:szCs w:val="18"/>
              </w:rPr>
            </w:pPr>
            <w:r>
              <w:rPr>
                <w:rFonts w:hint="eastAsia" w:ascii="微软雅黑" w:hAnsi="微软雅黑" w:eastAsia="微软雅黑" w:cs="微软雅黑"/>
                <w:sz w:val="18"/>
                <w:szCs w:val="18"/>
              </w:rPr>
              <w:t>酒店早餐后，全天自由活动，。指定地点集合前往机场.</w:t>
            </w:r>
          </w:p>
          <w:p>
            <w:pPr>
              <w:tabs>
                <w:tab w:val="left" w:pos="3291"/>
                <w:tab w:val="center" w:pos="5386"/>
              </w:tabs>
              <w:spacing w:line="400" w:lineRule="atLeast"/>
              <w:rPr>
                <w:rFonts w:ascii="微软雅黑" w:hAnsi="微软雅黑" w:eastAsia="微软雅黑" w:cs="微软雅黑"/>
                <w:color w:val="000000"/>
                <w:sz w:val="18"/>
                <w:szCs w:val="18"/>
              </w:rPr>
            </w:pPr>
            <w:r>
              <w:rPr>
                <w:rFonts w:hint="eastAsia" w:ascii="微软雅黑" w:hAnsi="微软雅黑" w:eastAsia="微软雅黑" w:cs="微软雅黑"/>
                <w:bCs/>
                <w:color w:val="7030A0"/>
                <w:sz w:val="18"/>
                <w:szCs w:val="18"/>
              </w:rPr>
              <w:t>（注：当天不包含午晚餐、自由活动期间不含用车导游服务）</w:t>
            </w:r>
          </w:p>
        </w:tc>
        <w:tc>
          <w:tcPr>
            <w:tcW w:w="1091"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酒店早餐</w:t>
            </w:r>
          </w:p>
          <w:p>
            <w:pPr>
              <w:jc w:val="center"/>
              <w:rPr>
                <w:rFonts w:ascii="微软雅黑" w:hAnsi="微软雅黑" w:eastAsia="微软雅黑" w:cs="微软雅黑"/>
                <w:bCs/>
                <w:sz w:val="18"/>
                <w:szCs w:val="18"/>
              </w:rPr>
            </w:pPr>
            <w:r>
              <w:rPr>
                <w:rFonts w:hint="eastAsia" w:ascii="微软雅黑" w:hAnsi="微软雅黑" w:eastAsia="微软雅黑" w:cs="微软雅黑"/>
                <w:bCs/>
                <w:sz w:val="18"/>
                <w:szCs w:val="18"/>
              </w:rPr>
              <w:t>/</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w:t>
            </w:r>
          </w:p>
        </w:tc>
        <w:tc>
          <w:tcPr>
            <w:tcW w:w="1401"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X</w:t>
            </w:r>
          </w:p>
        </w:tc>
      </w:tr>
      <w:tr>
        <w:tblPrEx>
          <w:tblBorders>
            <w:top w:val="double" w:color="7030A0" w:sz="4" w:space="0"/>
            <w:left w:val="double" w:color="7030A0" w:sz="4" w:space="0"/>
            <w:bottom w:val="double" w:color="7030A0" w:sz="4" w:space="0"/>
            <w:right w:val="double" w:color="7030A0" w:sz="4" w:space="0"/>
            <w:insideH w:val="single" w:color="7030A0" w:sz="4" w:space="0"/>
            <w:insideV w:val="single" w:color="7030A0" w:sz="4" w:space="0"/>
          </w:tblBorders>
          <w:tblLayout w:type="fixed"/>
          <w:tblCellMar>
            <w:top w:w="0" w:type="dxa"/>
            <w:left w:w="108" w:type="dxa"/>
            <w:bottom w:w="0" w:type="dxa"/>
            <w:right w:w="108" w:type="dxa"/>
          </w:tblCellMar>
        </w:tblPrEx>
        <w:trPr>
          <w:jc w:val="center"/>
        </w:trPr>
        <w:tc>
          <w:tcPr>
            <w:tcW w:w="936" w:type="dxa"/>
            <w:tcBorders>
              <w:bottom w:val="double" w:color="7030A0" w:sz="4" w:space="0"/>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第十一天</w:t>
            </w:r>
          </w:p>
          <w:p>
            <w:pPr>
              <w:jc w:val="center"/>
              <w:rPr>
                <w:rFonts w:ascii="微软雅黑" w:hAnsi="微软雅黑" w:eastAsia="微软雅黑" w:cs="微软雅黑"/>
                <w:sz w:val="18"/>
                <w:szCs w:val="18"/>
              </w:rPr>
            </w:pPr>
          </w:p>
        </w:tc>
        <w:tc>
          <w:tcPr>
            <w:tcW w:w="6947" w:type="dxa"/>
            <w:tcBorders>
              <w:bottom w:val="double" w:color="7030A0" w:sz="4" w:space="0"/>
            </w:tcBorders>
          </w:tcPr>
          <w:p>
            <w:pPr>
              <w:rPr>
                <w:rFonts w:ascii="微软雅黑" w:hAnsi="微软雅黑" w:eastAsia="微软雅黑" w:cs="微软雅黑"/>
                <w:b/>
                <w:bCs/>
                <w:sz w:val="18"/>
                <w:szCs w:val="18"/>
              </w:rPr>
            </w:pPr>
            <w:r>
              <w:rPr>
                <w:rFonts w:hint="eastAsia" w:ascii="微软雅黑" w:hAnsi="微软雅黑" w:eastAsia="微软雅黑" w:cs="微软雅黑"/>
                <w:b/>
                <w:bCs/>
                <w:sz w:val="18"/>
                <w:szCs w:val="18"/>
              </w:rPr>
              <w:t>武汉</w:t>
            </w:r>
          </w:p>
          <w:p>
            <w:pPr>
              <w:rPr>
                <w:rFonts w:ascii="微软雅黑" w:hAnsi="微软雅黑" w:eastAsia="微软雅黑" w:cs="微软雅黑"/>
                <w:b/>
                <w:bCs/>
                <w:sz w:val="18"/>
                <w:szCs w:val="18"/>
              </w:rPr>
            </w:pPr>
            <w:r>
              <w:rPr>
                <w:rFonts w:hint="eastAsia" w:ascii="微软雅黑" w:hAnsi="微软雅黑" w:eastAsia="微软雅黑" w:cs="微软雅黑"/>
                <w:color w:val="000000"/>
                <w:sz w:val="18"/>
                <w:szCs w:val="18"/>
              </w:rPr>
              <w:t>下午抵达武汉，结束愉快之旅。</w:t>
            </w:r>
          </w:p>
        </w:tc>
        <w:tc>
          <w:tcPr>
            <w:tcW w:w="1091" w:type="dxa"/>
            <w:tcBorders>
              <w:bottom w:val="double" w:color="7030A0" w:sz="4" w:space="0"/>
            </w:tcBorders>
          </w:tcPr>
          <w:p>
            <w:pPr>
              <w:jc w:val="center"/>
              <w:rPr>
                <w:rFonts w:ascii="微软雅黑" w:hAnsi="微软雅黑" w:eastAsia="微软雅黑" w:cs="微软雅黑"/>
                <w:sz w:val="18"/>
                <w:szCs w:val="18"/>
              </w:rPr>
            </w:pPr>
          </w:p>
        </w:tc>
        <w:tc>
          <w:tcPr>
            <w:tcW w:w="1401" w:type="dxa"/>
            <w:tcBorders>
              <w:bottom w:val="double" w:color="7030A0" w:sz="4" w:space="0"/>
            </w:tcBorders>
          </w:tcPr>
          <w:p>
            <w:pPr>
              <w:jc w:val="center"/>
              <w:rPr>
                <w:rFonts w:ascii="微软雅黑" w:hAnsi="微软雅黑" w:eastAsia="微软雅黑" w:cs="微软雅黑"/>
                <w:sz w:val="18"/>
                <w:szCs w:val="18"/>
              </w:rPr>
            </w:pPr>
          </w:p>
        </w:tc>
      </w:tr>
    </w:tbl>
    <w:p>
      <w:pPr>
        <w:autoSpaceDE w:val="0"/>
        <w:autoSpaceDN w:val="0"/>
        <w:adjustRightInd w:val="0"/>
        <w:ind w:right="21" w:rightChars="10"/>
        <w:rPr>
          <w:rFonts w:ascii="宋体"/>
          <w:color w:val="7030A0"/>
          <w:szCs w:val="21"/>
        </w:rPr>
      </w:pPr>
    </w:p>
    <w:p>
      <w:pPr>
        <w:spacing w:line="276" w:lineRule="auto"/>
        <w:rPr>
          <w:rFonts w:ascii="楷体_GB2312" w:hAnsi="Arial" w:eastAsia="楷体_GB2312" w:cs="Arial"/>
          <w:b/>
          <w:color w:val="632423"/>
          <w:szCs w:val="21"/>
        </w:rPr>
      </w:pPr>
      <w:r>
        <w:rPr>
          <w:rFonts w:hint="eastAsia" w:ascii="楷体_GB2312" w:hAnsi="Arial" w:eastAsia="楷体_GB2312" w:cs="Arial"/>
          <w:b/>
          <w:color w:val="632423"/>
          <w:szCs w:val="21"/>
        </w:rPr>
        <w:t>当地导游有可能会在不减少景点的前提下，根据当地的实际情况而调整行程的先后顺序！</w:t>
      </w:r>
    </w:p>
    <w:p>
      <w:pPr>
        <w:rPr>
          <w:rFonts w:ascii="宋体" w:cs="Arial"/>
          <w:b/>
          <w:sz w:val="18"/>
          <w:szCs w:val="18"/>
        </w:rPr>
      </w:pPr>
      <w:r>
        <w:rPr>
          <w:rFonts w:hint="eastAsia" w:ascii="宋体" w:hAnsi="宋体" w:cs="Arial"/>
          <w:b/>
          <w:sz w:val="18"/>
          <w:szCs w:val="18"/>
        </w:rPr>
        <w:t>费用包含：</w:t>
      </w:r>
    </w:p>
    <w:p>
      <w:pPr>
        <w:numPr>
          <w:ilvl w:val="0"/>
          <w:numId w:val="1"/>
        </w:numPr>
        <w:rPr>
          <w:rFonts w:ascii="宋体" w:cs="Arial"/>
          <w:sz w:val="18"/>
          <w:szCs w:val="18"/>
        </w:rPr>
      </w:pPr>
      <w:r>
        <w:rPr>
          <w:rFonts w:hint="eastAsia" w:ascii="宋体" w:hAnsi="宋体" w:cs="Arial"/>
          <w:sz w:val="18"/>
          <w:szCs w:val="18"/>
        </w:rPr>
        <w:t>武汉</w:t>
      </w:r>
      <w:r>
        <w:rPr>
          <w:rFonts w:ascii="宋体" w:hAnsi="宋体" w:cs="Arial"/>
          <w:sz w:val="18"/>
          <w:szCs w:val="18"/>
        </w:rPr>
        <w:t xml:space="preserve"> /</w:t>
      </w:r>
      <w:r>
        <w:rPr>
          <w:rFonts w:hint="eastAsia" w:ascii="宋体" w:hAnsi="宋体" w:cs="Arial"/>
          <w:sz w:val="18"/>
          <w:szCs w:val="18"/>
        </w:rPr>
        <w:t>土耳其往返国际机票，团队经济舱，含机场建设税；</w:t>
      </w:r>
    </w:p>
    <w:p>
      <w:pPr>
        <w:numPr>
          <w:ilvl w:val="0"/>
          <w:numId w:val="1"/>
        </w:numPr>
        <w:rPr>
          <w:rFonts w:ascii="宋体" w:cs="Arial"/>
          <w:sz w:val="18"/>
          <w:szCs w:val="18"/>
        </w:rPr>
      </w:pPr>
      <w:r>
        <w:rPr>
          <w:rFonts w:hint="eastAsia" w:ascii="宋体" w:hAnsi="宋体" w:cs="Arial"/>
          <w:sz w:val="18"/>
          <w:szCs w:val="18"/>
        </w:rPr>
        <w:t>当地五星级酒店（双人标准间</w:t>
      </w:r>
      <w:r>
        <w:rPr>
          <w:rFonts w:ascii="宋体" w:hAnsi="宋体" w:cs="Arial"/>
          <w:sz w:val="18"/>
          <w:szCs w:val="18"/>
        </w:rPr>
        <w:t xml:space="preserve"> / </w:t>
      </w:r>
      <w:r>
        <w:rPr>
          <w:rFonts w:hint="eastAsia" w:ascii="宋体" w:hAnsi="宋体" w:cs="Arial"/>
          <w:sz w:val="18"/>
          <w:szCs w:val="18"/>
        </w:rPr>
        <w:t>早餐）；</w:t>
      </w:r>
    </w:p>
    <w:p>
      <w:pPr>
        <w:numPr>
          <w:ilvl w:val="0"/>
          <w:numId w:val="1"/>
        </w:numPr>
        <w:rPr>
          <w:rFonts w:ascii="宋体" w:cs="Arial"/>
          <w:color w:val="FF0000"/>
          <w:sz w:val="18"/>
          <w:szCs w:val="18"/>
        </w:rPr>
      </w:pPr>
      <w:r>
        <w:rPr>
          <w:rFonts w:hint="eastAsia" w:ascii="宋体" w:hAnsi="宋体" w:cs="Arial"/>
          <w:color w:val="FF0000"/>
          <w:sz w:val="18"/>
          <w:szCs w:val="18"/>
        </w:rPr>
        <w:t>境外旅游巴士</w:t>
      </w:r>
      <w:r>
        <w:rPr>
          <w:rFonts w:hint="eastAsia" w:ascii="宋体" w:hAnsi="宋体"/>
          <w:color w:val="FF0000"/>
          <w:sz w:val="18"/>
          <w:szCs w:val="18"/>
        </w:rPr>
        <w:t>（每人</w:t>
      </w:r>
      <w:r>
        <w:rPr>
          <w:rFonts w:ascii="宋体" w:hAnsi="宋体"/>
          <w:color w:val="FF0000"/>
          <w:sz w:val="18"/>
          <w:szCs w:val="18"/>
        </w:rPr>
        <w:t>1</w:t>
      </w:r>
      <w:r>
        <w:rPr>
          <w:rFonts w:hint="eastAsia" w:ascii="宋体" w:hAnsi="宋体"/>
          <w:color w:val="FF0000"/>
          <w:sz w:val="18"/>
          <w:szCs w:val="18"/>
        </w:rPr>
        <w:t>正座）</w:t>
      </w:r>
      <w:r>
        <w:rPr>
          <w:rFonts w:hint="eastAsia" w:ascii="宋体" w:hAnsi="宋体" w:cs="Arial"/>
          <w:color w:val="FF0000"/>
          <w:sz w:val="18"/>
          <w:szCs w:val="18"/>
        </w:rPr>
        <w:t>及外籍司机；（根据团队人数，例：通常为</w:t>
      </w:r>
      <w:r>
        <w:rPr>
          <w:rFonts w:ascii="宋体" w:hAnsi="宋体" w:cs="Arial"/>
          <w:color w:val="FF0000"/>
          <w:sz w:val="18"/>
          <w:szCs w:val="18"/>
        </w:rPr>
        <w:t>19</w:t>
      </w:r>
      <w:r>
        <w:rPr>
          <w:rFonts w:hint="eastAsia" w:ascii="宋体" w:hAnsi="宋体" w:cs="Arial"/>
          <w:color w:val="FF0000"/>
          <w:sz w:val="18"/>
          <w:szCs w:val="18"/>
        </w:rPr>
        <w:t>人安排</w:t>
      </w:r>
      <w:r>
        <w:rPr>
          <w:rFonts w:ascii="宋体" w:hAnsi="宋体" w:cs="Arial"/>
          <w:color w:val="FF0000"/>
          <w:sz w:val="18"/>
          <w:szCs w:val="18"/>
        </w:rPr>
        <w:t>27</w:t>
      </w:r>
      <w:r>
        <w:rPr>
          <w:rFonts w:hint="eastAsia" w:ascii="宋体" w:hAnsi="宋体" w:cs="Arial"/>
          <w:color w:val="FF0000"/>
          <w:sz w:val="18"/>
          <w:szCs w:val="18"/>
        </w:rPr>
        <w:t>座车，</w:t>
      </w:r>
      <w:r>
        <w:rPr>
          <w:rFonts w:ascii="宋体" w:hAnsi="宋体" w:cs="Arial"/>
          <w:color w:val="FF0000"/>
          <w:sz w:val="18"/>
          <w:szCs w:val="18"/>
        </w:rPr>
        <w:t>25</w:t>
      </w:r>
      <w:r>
        <w:rPr>
          <w:rFonts w:hint="eastAsia" w:ascii="宋体" w:hAnsi="宋体" w:cs="Arial"/>
          <w:color w:val="FF0000"/>
          <w:sz w:val="18"/>
          <w:szCs w:val="18"/>
        </w:rPr>
        <w:t>人安排</w:t>
      </w:r>
      <w:r>
        <w:rPr>
          <w:rFonts w:ascii="宋体" w:hAnsi="宋体" w:cs="Arial"/>
          <w:color w:val="FF0000"/>
          <w:sz w:val="18"/>
          <w:szCs w:val="18"/>
        </w:rPr>
        <w:t>46</w:t>
      </w:r>
      <w:r>
        <w:rPr>
          <w:rFonts w:hint="eastAsia" w:ascii="宋体" w:hAnsi="宋体" w:cs="Arial"/>
          <w:color w:val="FF0000"/>
          <w:sz w:val="18"/>
          <w:szCs w:val="18"/>
        </w:rPr>
        <w:t>座车，</w:t>
      </w:r>
      <w:r>
        <w:rPr>
          <w:rFonts w:hint="eastAsia" w:ascii="宋体" w:hAnsi="宋体" w:cs="宋体"/>
          <w:color w:val="FF0000"/>
          <w:sz w:val="18"/>
          <w:szCs w:val="18"/>
        </w:rPr>
        <w:t>如遇突发情况我社可能调整，当地用车全程有</w:t>
      </w:r>
      <w:r>
        <w:rPr>
          <w:rFonts w:ascii="宋体" w:hAnsi="宋体" w:cs="宋体"/>
          <w:color w:val="FF0000"/>
          <w:sz w:val="18"/>
          <w:szCs w:val="18"/>
        </w:rPr>
        <w:t>WIFI</w:t>
      </w:r>
      <w:r>
        <w:rPr>
          <w:rFonts w:hint="eastAsia" w:ascii="宋体" w:hAnsi="宋体" w:cs="宋体"/>
          <w:color w:val="FF0000"/>
          <w:sz w:val="18"/>
          <w:szCs w:val="18"/>
        </w:rPr>
        <w:t>可能会信号不好，希望您谅解。</w:t>
      </w:r>
      <w:r>
        <w:rPr>
          <w:rFonts w:hint="eastAsia" w:ascii="宋体" w:hAnsi="宋体" w:cs="Arial"/>
          <w:color w:val="FF0000"/>
          <w:sz w:val="18"/>
          <w:szCs w:val="18"/>
        </w:rPr>
        <w:t>）</w:t>
      </w:r>
    </w:p>
    <w:p>
      <w:pPr>
        <w:numPr>
          <w:ilvl w:val="0"/>
          <w:numId w:val="1"/>
        </w:numPr>
        <w:rPr>
          <w:rFonts w:ascii="宋体" w:cs="Arial"/>
          <w:sz w:val="18"/>
          <w:szCs w:val="18"/>
        </w:rPr>
      </w:pPr>
      <w:r>
        <w:rPr>
          <w:rFonts w:hint="eastAsia" w:ascii="宋体" w:hAnsi="宋体" w:cs="Arial"/>
          <w:sz w:val="18"/>
          <w:szCs w:val="18"/>
        </w:rPr>
        <w:t>境外导游服务</w:t>
      </w:r>
      <w:r>
        <w:rPr>
          <w:rFonts w:hint="eastAsia" w:ascii="Arial" w:hAnsi="宋体" w:cs="Arial"/>
          <w:color w:val="FF0000"/>
          <w:sz w:val="18"/>
          <w:szCs w:val="18"/>
        </w:rPr>
        <w:t>(由于土耳其国家旅游局规定,不允许外籍人士作为导游带团,故我社安排当地英文持证导游+领队兼中文翻译或当地持证中文导游+领队,保证同等服务质量,望周知!)</w:t>
      </w:r>
    </w:p>
    <w:p>
      <w:pPr>
        <w:numPr>
          <w:ilvl w:val="0"/>
          <w:numId w:val="1"/>
        </w:numPr>
        <w:rPr>
          <w:rFonts w:ascii="宋体" w:cs="Arial"/>
          <w:sz w:val="18"/>
          <w:szCs w:val="18"/>
        </w:rPr>
      </w:pPr>
      <w:r>
        <w:rPr>
          <w:rFonts w:hint="eastAsia" w:ascii="宋体" w:hAnsi="宋体" w:cs="Arial"/>
          <w:sz w:val="18"/>
          <w:szCs w:val="18"/>
        </w:rPr>
        <w:t>酒店自助早晚餐或中餐、（中餐：六菜一汤，</w:t>
      </w:r>
      <w:r>
        <w:rPr>
          <w:rFonts w:ascii="宋体" w:hAnsi="宋体" w:cs="Arial"/>
          <w:sz w:val="18"/>
          <w:szCs w:val="18"/>
        </w:rPr>
        <w:t>10</w:t>
      </w:r>
      <w:r>
        <w:rPr>
          <w:rFonts w:hint="eastAsia" w:ascii="宋体" w:hAnsi="宋体" w:cs="Arial"/>
          <w:sz w:val="18"/>
          <w:szCs w:val="18"/>
        </w:rPr>
        <w:t>人一桌，如人数减少，则会根据实际人数做适当调整）或当地餐；</w:t>
      </w:r>
      <w:r>
        <w:rPr>
          <w:rFonts w:ascii="宋体" w:hAnsi="宋体"/>
          <w:sz w:val="18"/>
          <w:szCs w:val="18"/>
        </w:rPr>
        <w:t>(</w:t>
      </w:r>
      <w:r>
        <w:rPr>
          <w:rFonts w:hint="eastAsia" w:ascii="宋体" w:hAnsi="宋体"/>
          <w:sz w:val="18"/>
          <w:szCs w:val="18"/>
        </w:rPr>
        <w:t>用餐时间在飞机或船上以机船餐为准，不再另补，如因自身原因放弃用餐，则餐费不退</w:t>
      </w:r>
      <w:r>
        <w:rPr>
          <w:rFonts w:ascii="宋体" w:hAnsi="宋体"/>
          <w:sz w:val="18"/>
          <w:szCs w:val="18"/>
        </w:rPr>
        <w:t>)</w:t>
      </w:r>
      <w:r>
        <w:rPr>
          <w:rFonts w:hint="eastAsia" w:ascii="宋体" w:hAnsi="宋体"/>
          <w:sz w:val="18"/>
          <w:szCs w:val="18"/>
        </w:rPr>
        <w:t>。</w:t>
      </w:r>
    </w:p>
    <w:p>
      <w:pPr>
        <w:numPr>
          <w:ilvl w:val="0"/>
          <w:numId w:val="1"/>
        </w:numPr>
        <w:rPr>
          <w:rFonts w:ascii="宋体" w:cs="Arial"/>
          <w:sz w:val="18"/>
          <w:szCs w:val="18"/>
        </w:rPr>
      </w:pPr>
      <w:r>
        <w:rPr>
          <w:rFonts w:hint="eastAsia" w:ascii="宋体" w:hAnsi="宋体" w:cs="Arial"/>
          <w:sz w:val="18"/>
          <w:szCs w:val="18"/>
        </w:rPr>
        <w:t>行程中所列入内参观景点首道门票；（如因自身原因放弃参观，景点门票费不退）</w:t>
      </w:r>
    </w:p>
    <w:p>
      <w:pPr>
        <w:numPr>
          <w:ilvl w:val="0"/>
          <w:numId w:val="1"/>
        </w:numPr>
        <w:rPr>
          <w:rFonts w:ascii="宋体" w:cs="Arial"/>
          <w:bCs/>
          <w:sz w:val="18"/>
          <w:szCs w:val="18"/>
        </w:rPr>
      </w:pPr>
      <w:r>
        <w:rPr>
          <w:rFonts w:hint="eastAsia" w:ascii="宋体" w:hAnsi="宋体" w:cs="Arial"/>
          <w:bCs/>
          <w:sz w:val="18"/>
          <w:szCs w:val="18"/>
        </w:rPr>
        <w:t>旅行社责任险；</w:t>
      </w:r>
    </w:p>
    <w:p>
      <w:pPr>
        <w:numPr>
          <w:ilvl w:val="0"/>
          <w:numId w:val="1"/>
        </w:numPr>
        <w:rPr>
          <w:rFonts w:ascii="宋体" w:cs="Arial"/>
          <w:bCs/>
          <w:sz w:val="18"/>
          <w:szCs w:val="18"/>
        </w:rPr>
      </w:pPr>
      <w:r>
        <w:rPr>
          <w:rFonts w:hint="eastAsia" w:ascii="宋体" w:hAnsi="宋体" w:cs="Arial"/>
          <w:sz w:val="18"/>
          <w:szCs w:val="18"/>
        </w:rPr>
        <w:drawing>
          <wp:anchor distT="0" distB="0" distL="114300" distR="114300" simplePos="0" relativeHeight="251722752" behindDoc="1" locked="0" layoutInCell="1" allowOverlap="1">
            <wp:simplePos x="0" y="0"/>
            <wp:positionH relativeFrom="column">
              <wp:posOffset>6867525</wp:posOffset>
            </wp:positionH>
            <wp:positionV relativeFrom="paragraph">
              <wp:posOffset>24130</wp:posOffset>
            </wp:positionV>
            <wp:extent cx="7572375" cy="10706100"/>
            <wp:effectExtent l="0" t="0" r="9525" b="0"/>
            <wp:wrapNone/>
            <wp:docPr id="1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宋体" w:hAnsi="宋体" w:cs="Arial"/>
          <w:sz w:val="18"/>
          <w:szCs w:val="18"/>
        </w:rPr>
        <w:t>境外旅游意外伤害保险。</w:t>
      </w:r>
    </w:p>
    <w:p>
      <w:pPr>
        <w:rPr>
          <w:rFonts w:ascii="宋体" w:hAnsi="宋体" w:cs="Arial"/>
          <w:b/>
          <w:bCs/>
          <w:sz w:val="18"/>
          <w:szCs w:val="18"/>
        </w:rPr>
      </w:pPr>
      <w:r>
        <w:rPr>
          <w:rFonts w:ascii="宋体" w:hAnsi="宋体" w:cs="Arial"/>
          <w:b/>
          <w:bCs/>
          <w:sz w:val="18"/>
          <w:szCs w:val="18"/>
        </w:rPr>
        <w:drawing>
          <wp:anchor distT="0" distB="0" distL="114300" distR="114300" simplePos="0" relativeHeight="251724800" behindDoc="1" locked="0" layoutInCell="1" allowOverlap="1">
            <wp:simplePos x="0" y="0"/>
            <wp:positionH relativeFrom="column">
              <wp:posOffset>8439150</wp:posOffset>
            </wp:positionH>
            <wp:positionV relativeFrom="paragraph">
              <wp:posOffset>-2540</wp:posOffset>
            </wp:positionV>
            <wp:extent cx="7572375" cy="10706100"/>
            <wp:effectExtent l="0" t="0" r="9525"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p>
    <w:p>
      <w:pPr>
        <w:rPr>
          <w:rFonts w:ascii="宋体" w:cs="Arial"/>
          <w:sz w:val="18"/>
          <w:szCs w:val="18"/>
        </w:rPr>
      </w:pPr>
      <w:r>
        <w:rPr>
          <w:rFonts w:hint="eastAsia" w:ascii="宋体" w:hAnsi="宋体" w:cs="Arial"/>
          <w:b/>
          <w:bCs/>
          <w:sz w:val="18"/>
          <w:szCs w:val="18"/>
        </w:rPr>
        <w:t>不含项目：</w:t>
      </w:r>
    </w:p>
    <w:p>
      <w:pPr>
        <w:numPr>
          <w:ilvl w:val="0"/>
          <w:numId w:val="2"/>
        </w:numPr>
        <w:ind w:right="-1233" w:rightChars="-587"/>
        <w:rPr>
          <w:rFonts w:ascii="宋体" w:hAnsi="宋体" w:cs="Arial"/>
          <w:sz w:val="18"/>
          <w:szCs w:val="18"/>
        </w:rPr>
      </w:pPr>
      <w:r>
        <w:rPr>
          <w:rFonts w:hint="eastAsia" w:ascii="宋体" w:hAnsi="宋体" w:cs="Arial"/>
          <w:sz w:val="18"/>
          <w:szCs w:val="18"/>
        </w:rPr>
        <w:t>护照费用；</w:t>
      </w:r>
    </w:p>
    <w:p>
      <w:pPr>
        <w:pStyle w:val="18"/>
        <w:numPr>
          <w:ilvl w:val="0"/>
          <w:numId w:val="2"/>
        </w:numPr>
        <w:ind w:right="-1233" w:rightChars="-587" w:firstLineChars="0"/>
        <w:rPr>
          <w:rFonts w:ascii="宋体" w:cs="Arial"/>
          <w:b/>
          <w:color w:val="FF0000"/>
          <w:sz w:val="18"/>
          <w:szCs w:val="18"/>
        </w:rPr>
      </w:pPr>
      <w:r>
        <w:rPr>
          <w:rFonts w:hint="eastAsia" w:ascii="宋体" w:hAnsi="宋体" w:cs="Arial"/>
          <w:b/>
          <w:color w:val="FF0000"/>
          <w:sz w:val="18"/>
          <w:szCs w:val="18"/>
        </w:rPr>
        <w:t>境外司导及领队服务费800元/人，由领队机场现收；</w:t>
      </w:r>
    </w:p>
    <w:p>
      <w:pPr>
        <w:pStyle w:val="18"/>
        <w:numPr>
          <w:ilvl w:val="0"/>
          <w:numId w:val="2"/>
        </w:numPr>
        <w:ind w:right="-1233" w:rightChars="-587" w:firstLineChars="0"/>
        <w:rPr>
          <w:rFonts w:ascii="宋体" w:cs="Arial"/>
          <w:b/>
          <w:color w:val="FF0000"/>
          <w:sz w:val="18"/>
          <w:szCs w:val="18"/>
        </w:rPr>
      </w:pPr>
      <w:r>
        <w:rPr>
          <w:rFonts w:hint="eastAsia" w:ascii="宋体" w:cs="Arial"/>
          <w:b/>
          <w:color w:val="FF0000"/>
          <w:sz w:val="18"/>
          <w:szCs w:val="18"/>
        </w:rPr>
        <w:t>不含签证费500元/人，由领队机场现收；</w:t>
      </w:r>
    </w:p>
    <w:p>
      <w:pPr>
        <w:ind w:right="-1233" w:rightChars="-587"/>
        <w:rPr>
          <w:rFonts w:ascii="宋体" w:cs="Arial"/>
          <w:sz w:val="18"/>
          <w:szCs w:val="18"/>
        </w:rPr>
      </w:pPr>
      <w:r>
        <w:rPr>
          <w:rFonts w:hint="eastAsia" w:ascii="宋体" w:hAnsi="宋体" w:cs="Arial"/>
          <w:sz w:val="18"/>
          <w:szCs w:val="18"/>
        </w:rPr>
        <w:t>4、签证相关的例如未成年人公证，认证等相关费用；</w:t>
      </w:r>
    </w:p>
    <w:p>
      <w:pPr>
        <w:ind w:left="270" w:hanging="270" w:hangingChars="150"/>
        <w:rPr>
          <w:rFonts w:ascii="宋体" w:cs="Arial"/>
          <w:b/>
          <w:sz w:val="18"/>
          <w:szCs w:val="18"/>
        </w:rPr>
      </w:pPr>
      <w:r>
        <w:rPr>
          <w:rFonts w:hint="eastAsia" w:ascii="宋体" w:hAnsi="宋体" w:cs="Arial"/>
          <w:sz w:val="18"/>
          <w:szCs w:val="18"/>
        </w:rPr>
        <w:t>5、依照旅游业现行业规定，本公司有权依据最终出团人数，调整分房情况。客人报名时为单男或单女，分房时如产生自然单间，单间差请客人自理！</w:t>
      </w:r>
      <w:r>
        <w:rPr>
          <w:rFonts w:hint="eastAsia" w:ascii="宋体" w:hAnsi="宋体" w:cs="Arial"/>
          <w:b/>
          <w:sz w:val="18"/>
          <w:szCs w:val="18"/>
        </w:rPr>
        <w:t>单间差</w:t>
      </w:r>
      <w:r>
        <w:rPr>
          <w:rFonts w:ascii="宋体" w:hAnsi="宋体" w:cs="Arial"/>
          <w:b/>
          <w:sz w:val="18"/>
          <w:szCs w:val="18"/>
        </w:rPr>
        <w:t>3</w:t>
      </w:r>
      <w:r>
        <w:rPr>
          <w:rFonts w:hint="eastAsia" w:ascii="宋体" w:hAnsi="宋体" w:cs="Arial"/>
          <w:b/>
          <w:sz w:val="18"/>
          <w:szCs w:val="18"/>
        </w:rPr>
        <w:t>500元</w:t>
      </w:r>
      <w:r>
        <w:rPr>
          <w:rFonts w:ascii="宋体" w:hAnsi="宋体" w:cs="Arial"/>
          <w:b/>
          <w:sz w:val="18"/>
          <w:szCs w:val="18"/>
        </w:rPr>
        <w:t>/</w:t>
      </w:r>
      <w:r>
        <w:rPr>
          <w:rFonts w:hint="eastAsia" w:ascii="宋体" w:hAnsi="宋体" w:cs="Arial"/>
          <w:b/>
          <w:sz w:val="18"/>
          <w:szCs w:val="18"/>
        </w:rPr>
        <w:t>人</w:t>
      </w:r>
    </w:p>
    <w:p>
      <w:pPr>
        <w:ind w:right="-1233" w:rightChars="-587"/>
        <w:rPr>
          <w:rFonts w:ascii="宋体" w:cs="Arial"/>
          <w:sz w:val="18"/>
          <w:szCs w:val="18"/>
        </w:rPr>
      </w:pPr>
      <w:r>
        <w:rPr>
          <w:rFonts w:hint="eastAsia" w:ascii="宋体" w:hAnsi="宋体" w:cs="Arial"/>
          <w:sz w:val="18"/>
          <w:szCs w:val="18"/>
        </w:rPr>
        <w:t>6、酒店内电话、传真、洗熨、收费电视、饮料等费用；</w:t>
      </w:r>
    </w:p>
    <w:p>
      <w:pPr>
        <w:ind w:right="-1233" w:rightChars="-587"/>
        <w:rPr>
          <w:rFonts w:ascii="宋体" w:cs="Arial"/>
          <w:sz w:val="18"/>
          <w:szCs w:val="18"/>
        </w:rPr>
      </w:pPr>
      <w:r>
        <w:rPr>
          <w:rFonts w:hint="eastAsia" w:ascii="宋体" w:hAnsi="宋体" w:cs="Arial"/>
          <w:sz w:val="18"/>
          <w:szCs w:val="18"/>
        </w:rPr>
        <w:t>7、洗衣，理发，电话，饮料，烟酒，付费电视，行李搬运等私人费用；</w:t>
      </w:r>
    </w:p>
    <w:p>
      <w:pPr>
        <w:ind w:right="-1233" w:rightChars="-587"/>
        <w:rPr>
          <w:rFonts w:ascii="宋体" w:cs="Arial"/>
          <w:sz w:val="18"/>
          <w:szCs w:val="18"/>
        </w:rPr>
      </w:pPr>
      <w:r>
        <w:rPr>
          <w:rFonts w:hint="eastAsia" w:ascii="宋体" w:hAnsi="宋体" w:cs="宋体"/>
          <w:color w:val="000000"/>
          <w:sz w:val="18"/>
          <w:szCs w:val="18"/>
        </w:rPr>
        <w:t>8、转候机</w:t>
      </w:r>
      <w:r>
        <w:rPr>
          <w:rFonts w:ascii="宋体" w:hAnsi="宋体" w:cs="宋体"/>
          <w:color w:val="000000"/>
          <w:sz w:val="18"/>
          <w:szCs w:val="18"/>
        </w:rPr>
        <w:t>/</w:t>
      </w:r>
      <w:r>
        <w:rPr>
          <w:rFonts w:hint="eastAsia" w:ascii="宋体" w:hAnsi="宋体" w:cs="宋体"/>
          <w:color w:val="000000"/>
          <w:sz w:val="18"/>
          <w:szCs w:val="18"/>
        </w:rPr>
        <w:t>火车</w:t>
      </w:r>
      <w:r>
        <w:rPr>
          <w:rFonts w:ascii="宋体" w:hAnsi="宋体" w:cs="宋体"/>
          <w:color w:val="000000"/>
          <w:sz w:val="18"/>
          <w:szCs w:val="18"/>
        </w:rPr>
        <w:t>/</w:t>
      </w:r>
      <w:r>
        <w:rPr>
          <w:rFonts w:hint="eastAsia" w:ascii="宋体" w:hAnsi="宋体" w:cs="宋体"/>
          <w:color w:val="000000"/>
          <w:sz w:val="18"/>
          <w:szCs w:val="18"/>
        </w:rPr>
        <w:t>船只时用餐。</w:t>
      </w:r>
    </w:p>
    <w:p>
      <w:pPr>
        <w:ind w:right="-1233" w:rightChars="-587"/>
        <w:rPr>
          <w:rFonts w:ascii="宋体" w:cs="Arial"/>
          <w:sz w:val="18"/>
          <w:szCs w:val="18"/>
        </w:rPr>
      </w:pPr>
      <w:r>
        <w:rPr>
          <w:rFonts w:hint="eastAsia" w:ascii="宋体" w:hAnsi="宋体" w:cs="宋体"/>
          <w:color w:val="000000"/>
          <w:sz w:val="18"/>
          <w:szCs w:val="18"/>
        </w:rPr>
        <w:t>9、行李在航班托运期间的造成损坏的经济损失和责任。</w:t>
      </w:r>
    </w:p>
    <w:p>
      <w:pPr>
        <w:ind w:right="-1233" w:rightChars="-587"/>
        <w:rPr>
          <w:rFonts w:ascii="宋体" w:cs="Arial"/>
          <w:sz w:val="18"/>
          <w:szCs w:val="18"/>
        </w:rPr>
      </w:pPr>
      <w:r>
        <w:rPr>
          <w:rFonts w:hint="eastAsia" w:ascii="宋体" w:hAnsi="宋体" w:cs="宋体"/>
          <w:color w:val="000000"/>
          <w:sz w:val="18"/>
          <w:szCs w:val="18"/>
        </w:rPr>
        <w:t>10、因气候或飞机、车辆、船只等交通工具发生故障导致时间延误或行程更改引起的经济损失和责任；</w:t>
      </w:r>
    </w:p>
    <w:p>
      <w:pPr>
        <w:ind w:right="-1233" w:rightChars="-587"/>
        <w:rPr>
          <w:rFonts w:ascii="宋体" w:cs="Arial"/>
          <w:sz w:val="18"/>
          <w:szCs w:val="18"/>
        </w:rPr>
      </w:pPr>
      <w:r>
        <w:rPr>
          <w:rFonts w:hint="eastAsia" w:ascii="宋体" w:hAnsi="宋体" w:cs="宋体"/>
          <w:color w:val="000000"/>
          <w:sz w:val="18"/>
          <w:szCs w:val="18"/>
        </w:rPr>
        <w:t>11、因个人原因滞留产生的一切费用；</w:t>
      </w:r>
    </w:p>
    <w:p>
      <w:pPr>
        <w:ind w:right="-1233" w:rightChars="-587"/>
        <w:rPr>
          <w:rFonts w:ascii="宋体" w:cs="Arial"/>
          <w:sz w:val="18"/>
          <w:szCs w:val="18"/>
        </w:rPr>
      </w:pPr>
      <w:r>
        <w:rPr>
          <w:rFonts w:ascii="宋体" w:hAnsi="宋体" w:cs="宋体"/>
          <w:color w:val="000000"/>
          <w:sz w:val="18"/>
          <w:szCs w:val="18"/>
        </w:rPr>
        <w:t>1</w:t>
      </w:r>
      <w:r>
        <w:rPr>
          <w:rFonts w:hint="eastAsia" w:ascii="宋体" w:hAnsi="宋体" w:cs="宋体"/>
          <w:color w:val="000000"/>
          <w:sz w:val="18"/>
          <w:szCs w:val="18"/>
        </w:rPr>
        <w:t>2、行程列明以外的景点或活动所引起的任何费用；</w:t>
      </w:r>
    </w:p>
    <w:p>
      <w:pPr>
        <w:ind w:right="-1233" w:rightChars="-587"/>
        <w:rPr>
          <w:rFonts w:ascii="宋体" w:cs="宋体"/>
          <w:color w:val="000000"/>
          <w:sz w:val="18"/>
          <w:szCs w:val="18"/>
        </w:rPr>
      </w:pPr>
      <w:r>
        <w:rPr>
          <w:rFonts w:ascii="宋体" w:hAnsi="宋体" w:cs="宋体"/>
          <w:color w:val="000000"/>
          <w:sz w:val="18"/>
          <w:szCs w:val="18"/>
        </w:rPr>
        <w:t>1</w:t>
      </w:r>
      <w:r>
        <w:rPr>
          <w:rFonts w:hint="eastAsia" w:ascii="宋体" w:hAnsi="宋体" w:cs="宋体"/>
          <w:color w:val="000000"/>
          <w:sz w:val="18"/>
          <w:szCs w:val="18"/>
        </w:rPr>
        <w:t>3、旅游费用不包括旅游者因违约、自身过错、自由活动期间内行为或自身疾病引起的人身和财产损失；</w:t>
      </w:r>
    </w:p>
    <w:p>
      <w:pPr>
        <w:ind w:right="-1233" w:rightChars="-587"/>
        <w:rPr>
          <w:rFonts w:ascii="宋体" w:cs="宋体"/>
          <w:color w:val="000000"/>
          <w:sz w:val="18"/>
          <w:szCs w:val="18"/>
        </w:rPr>
      </w:pPr>
      <w:r>
        <w:rPr>
          <w:rFonts w:ascii="宋体" w:hAnsi="宋体" w:cs="宋体"/>
          <w:color w:val="000000"/>
          <w:sz w:val="18"/>
          <w:szCs w:val="18"/>
        </w:rPr>
        <w:t>1</w:t>
      </w:r>
      <w:r>
        <w:rPr>
          <w:rFonts w:hint="eastAsia" w:ascii="宋体" w:hAnsi="宋体" w:cs="宋体"/>
          <w:color w:val="000000"/>
          <w:sz w:val="18"/>
          <w:szCs w:val="18"/>
        </w:rPr>
        <w:t>4、服务项目未提到的其他一切费用，例如特种门票（缆车等）；</w:t>
      </w:r>
    </w:p>
    <w:p>
      <w:pPr>
        <w:ind w:right="-1233" w:rightChars="-587"/>
        <w:rPr>
          <w:rFonts w:ascii="宋体" w:hAnsi="宋体" w:cs="Arial"/>
          <w:sz w:val="18"/>
          <w:szCs w:val="18"/>
        </w:rPr>
      </w:pPr>
      <w:r>
        <w:rPr>
          <w:rFonts w:ascii="宋体" w:hAnsi="宋体" w:cs="Arial"/>
          <w:sz w:val="18"/>
          <w:szCs w:val="18"/>
        </w:rPr>
        <w:t>1</w:t>
      </w:r>
      <w:r>
        <w:rPr>
          <w:rFonts w:hint="eastAsia" w:ascii="宋体" w:hAnsi="宋体" w:cs="Arial"/>
          <w:sz w:val="18"/>
          <w:szCs w:val="18"/>
        </w:rPr>
        <w:t>5、当地国家景点门票外另收的租耳机费用；</w:t>
      </w:r>
    </w:p>
    <w:p>
      <w:pPr>
        <w:ind w:right="-1233" w:rightChars="-587" w:firstLine="181" w:firstLineChars="100"/>
        <w:rPr>
          <w:rFonts w:ascii="宋体" w:hAnsi="宋体" w:cs="Arial"/>
          <w:sz w:val="18"/>
          <w:szCs w:val="18"/>
        </w:rPr>
      </w:pPr>
      <w:r>
        <w:rPr>
          <w:rFonts w:hint="eastAsia" w:ascii="宋体" w:hAnsi="宋体" w:cs="Arial"/>
          <w:b/>
          <w:color w:val="FF0000"/>
          <w:sz w:val="18"/>
          <w:szCs w:val="18"/>
        </w:rPr>
        <w:t>11岁儿童(含11岁)不占床减400,占床与成人同价,12岁以上(含12岁)必须占床</w:t>
      </w:r>
    </w:p>
    <w:p>
      <w:pPr>
        <w:ind w:right="-1233" w:rightChars="-587"/>
        <w:rPr>
          <w:rFonts w:ascii="宋体" w:cs="宋体"/>
          <w:b/>
          <w:color w:val="000000"/>
          <w:sz w:val="18"/>
          <w:szCs w:val="18"/>
        </w:rPr>
      </w:pPr>
      <w:r>
        <w:rPr>
          <w:rFonts w:ascii="宋体" w:cs="宋体"/>
          <w:b/>
          <w:color w:val="000000"/>
          <w:sz w:val="18"/>
          <w:szCs w:val="18"/>
        </w:rPr>
        <w:tab/>
      </w:r>
    </w:p>
    <w:p>
      <w:pPr>
        <w:spacing w:line="240" w:lineRule="atLeast"/>
        <w:rPr>
          <w:rFonts w:ascii="宋体" w:hAnsi="宋体"/>
          <w:b/>
          <w:sz w:val="18"/>
          <w:szCs w:val="18"/>
        </w:rPr>
      </w:pPr>
    </w:p>
    <w:p>
      <w:pPr>
        <w:spacing w:line="240" w:lineRule="atLeast"/>
        <w:rPr>
          <w:rFonts w:ascii="宋体"/>
          <w:b/>
          <w:sz w:val="18"/>
          <w:szCs w:val="18"/>
        </w:rPr>
      </w:pPr>
      <w:r>
        <w:rPr>
          <w:rFonts w:hint="eastAsia" w:ascii="宋体" w:hAnsi="宋体"/>
          <w:b/>
          <w:sz w:val="18"/>
          <w:szCs w:val="18"/>
        </w:rPr>
        <w:t>服务标准说明：</w:t>
      </w:r>
    </w:p>
    <w:p>
      <w:pPr>
        <w:spacing w:line="240" w:lineRule="atLeast"/>
        <w:rPr>
          <w:rFonts w:ascii="宋体"/>
          <w:sz w:val="18"/>
          <w:szCs w:val="18"/>
        </w:rPr>
      </w:pPr>
      <w:r>
        <w:rPr>
          <w:rFonts w:hint="eastAsia" w:ascii="宋体" w:hAnsi="宋体"/>
          <w:sz w:val="18"/>
          <w:szCs w:val="18"/>
        </w:rPr>
        <w:t>行程说明：</w:t>
      </w:r>
    </w:p>
    <w:p>
      <w:pPr>
        <w:numPr>
          <w:ilvl w:val="1"/>
          <w:numId w:val="3"/>
        </w:numPr>
        <w:spacing w:line="240" w:lineRule="atLeast"/>
        <w:rPr>
          <w:rFonts w:ascii="宋体"/>
          <w:sz w:val="18"/>
          <w:szCs w:val="18"/>
        </w:rPr>
      </w:pPr>
      <w:r>
        <w:rPr>
          <w:rFonts w:hint="eastAsia" w:ascii="宋体" w:hAnsi="宋体"/>
          <w:sz w:val="18"/>
          <w:szCs w:val="18"/>
        </w:rPr>
        <w:t>如遇部分景点节假日休息或庆典等，本社有权根据实际情况调整行程游览先后顺序，以尽可能保证游览内容。但客观因素限制确实无法安排的，本社将根据实际情况进行调整，敬请各位贵宾理解与配合！</w:t>
      </w:r>
    </w:p>
    <w:p>
      <w:pPr>
        <w:numPr>
          <w:ilvl w:val="1"/>
          <w:numId w:val="3"/>
        </w:numPr>
        <w:spacing w:line="240" w:lineRule="atLeast"/>
        <w:rPr>
          <w:rFonts w:ascii="宋体"/>
          <w:sz w:val="18"/>
          <w:szCs w:val="18"/>
        </w:rPr>
      </w:pPr>
      <w:r>
        <w:rPr>
          <w:rFonts w:hint="eastAsia" w:ascii="宋体" w:hAnsi="宋体"/>
          <w:sz w:val="18"/>
          <w:szCs w:val="18"/>
        </w:rPr>
        <w:drawing>
          <wp:anchor distT="0" distB="0" distL="114300" distR="114300" simplePos="0" relativeHeight="251727872" behindDoc="1" locked="0" layoutInCell="1" allowOverlap="1">
            <wp:simplePos x="0" y="0"/>
            <wp:positionH relativeFrom="column">
              <wp:posOffset>7886700</wp:posOffset>
            </wp:positionH>
            <wp:positionV relativeFrom="paragraph">
              <wp:posOffset>161925</wp:posOffset>
            </wp:positionV>
            <wp:extent cx="7572375" cy="10706100"/>
            <wp:effectExtent l="0" t="0" r="9525" b="0"/>
            <wp:wrapNone/>
            <wp:docPr id="9"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宋体" w:hAnsi="宋体"/>
          <w:sz w:val="18"/>
          <w:szCs w:val="18"/>
        </w:rPr>
        <w:t>行程景点实际游览最短时间，以行程中标注时间为准；</w:t>
      </w:r>
    </w:p>
    <w:p>
      <w:pPr>
        <w:numPr>
          <w:ilvl w:val="1"/>
          <w:numId w:val="3"/>
        </w:numPr>
        <w:spacing w:line="240" w:lineRule="atLeast"/>
        <w:rPr>
          <w:rFonts w:ascii="宋体"/>
          <w:sz w:val="18"/>
          <w:szCs w:val="18"/>
        </w:rPr>
      </w:pPr>
      <w:r>
        <w:rPr>
          <w:rFonts w:hint="eastAsia" w:ascii="宋体" w:hAnsi="宋体"/>
          <w:sz w:val="18"/>
          <w:szCs w:val="18"/>
        </w:rPr>
        <w:t>根据国际航班团队搭乘要求，团队通常须提前</w:t>
      </w:r>
      <w:r>
        <w:rPr>
          <w:rFonts w:ascii="宋体" w:hAnsi="宋体"/>
          <w:sz w:val="18"/>
          <w:szCs w:val="18"/>
        </w:rPr>
        <w:t>3-3.5</w:t>
      </w:r>
      <w:r>
        <w:rPr>
          <w:rFonts w:hint="eastAsia" w:ascii="宋体" w:hAnsi="宋体"/>
          <w:sz w:val="18"/>
          <w:szCs w:val="18"/>
        </w:rPr>
        <w:t>小时到达机场办理登机手续，故国际段航班在当地下午</w:t>
      </w:r>
      <w:r>
        <w:rPr>
          <w:rFonts w:ascii="宋体" w:hAnsi="宋体"/>
          <w:sz w:val="18"/>
          <w:szCs w:val="18"/>
        </w:rPr>
        <w:t>15</w:t>
      </w:r>
      <w:r>
        <w:rPr>
          <w:rFonts w:hint="eastAsia" w:ascii="宋体" w:hAnsi="宋体"/>
          <w:sz w:val="18"/>
          <w:szCs w:val="18"/>
        </w:rPr>
        <w:t>点前（含</w:t>
      </w:r>
      <w:r>
        <w:rPr>
          <w:rFonts w:ascii="宋体" w:hAnsi="宋体"/>
          <w:sz w:val="18"/>
          <w:szCs w:val="18"/>
        </w:rPr>
        <w:t>15</w:t>
      </w:r>
      <w:r>
        <w:rPr>
          <w:rFonts w:hint="eastAsia" w:ascii="宋体" w:hAnsi="宋体"/>
          <w:sz w:val="18"/>
          <w:szCs w:val="18"/>
        </w:rPr>
        <w:t>点），晚间</w:t>
      </w:r>
      <w:r>
        <w:rPr>
          <w:rFonts w:ascii="宋体" w:hAnsi="宋体"/>
          <w:sz w:val="18"/>
          <w:szCs w:val="18"/>
        </w:rPr>
        <w:t>21</w:t>
      </w:r>
      <w:r>
        <w:rPr>
          <w:rFonts w:hint="eastAsia" w:ascii="宋体" w:hAnsi="宋体"/>
          <w:sz w:val="18"/>
          <w:szCs w:val="18"/>
        </w:rPr>
        <w:t>点前（含</w:t>
      </w:r>
      <w:r>
        <w:rPr>
          <w:rFonts w:ascii="宋体" w:hAnsi="宋体"/>
          <w:sz w:val="18"/>
          <w:szCs w:val="18"/>
        </w:rPr>
        <w:t>21</w:t>
      </w:r>
      <w:r>
        <w:rPr>
          <w:rFonts w:hint="eastAsia" w:ascii="宋体" w:hAnsi="宋体"/>
          <w:sz w:val="18"/>
          <w:szCs w:val="18"/>
        </w:rPr>
        <w:t>点）起飞的，行程均不含午餐或晚餐。</w:t>
      </w:r>
    </w:p>
    <w:p>
      <w:pPr>
        <w:spacing w:line="240" w:lineRule="atLeast"/>
        <w:rPr>
          <w:rFonts w:ascii="宋体"/>
          <w:sz w:val="18"/>
          <w:szCs w:val="18"/>
        </w:rPr>
      </w:pPr>
      <w:r>
        <w:rPr>
          <w:rFonts w:hint="eastAsia" w:ascii="宋体" w:hAnsi="宋体"/>
          <w:sz w:val="18"/>
          <w:szCs w:val="18"/>
        </w:rPr>
        <w:t>酒店标准：</w:t>
      </w:r>
    </w:p>
    <w:p>
      <w:pPr>
        <w:pStyle w:val="16"/>
        <w:widowControl w:val="0"/>
        <w:numPr>
          <w:ilvl w:val="0"/>
          <w:numId w:val="4"/>
        </w:numPr>
        <w:tabs>
          <w:tab w:val="left" w:pos="1140"/>
        </w:tabs>
        <w:spacing w:after="0" w:line="240" w:lineRule="atLeast"/>
        <w:jc w:val="both"/>
        <w:rPr>
          <w:rFonts w:ascii="宋体" w:cs="Arial"/>
          <w:sz w:val="18"/>
          <w:szCs w:val="18"/>
          <w:lang w:eastAsia="zh-CN"/>
        </w:rPr>
      </w:pPr>
      <w:r>
        <w:rPr>
          <w:rFonts w:hint="eastAsia" w:ascii="宋体" w:hAnsi="宋体" w:cs="Arial"/>
          <w:sz w:val="18"/>
          <w:szCs w:val="18"/>
          <w:lang w:eastAsia="zh-CN"/>
        </w:rPr>
        <w:t>行程中所列酒店星级标准为当地酒店评定标准；</w:t>
      </w:r>
    </w:p>
    <w:p>
      <w:pPr>
        <w:pStyle w:val="16"/>
        <w:widowControl w:val="0"/>
        <w:numPr>
          <w:ilvl w:val="0"/>
          <w:numId w:val="4"/>
        </w:numPr>
        <w:tabs>
          <w:tab w:val="left" w:pos="1140"/>
        </w:tabs>
        <w:spacing w:after="0" w:line="240" w:lineRule="atLeast"/>
        <w:jc w:val="both"/>
        <w:rPr>
          <w:rFonts w:ascii="宋体" w:cs="Arial"/>
          <w:sz w:val="18"/>
          <w:szCs w:val="18"/>
          <w:lang w:eastAsia="zh-CN"/>
        </w:rPr>
      </w:pPr>
      <w:r>
        <w:rPr>
          <w:rFonts w:hint="eastAsia" w:ascii="宋体" w:hAnsi="宋体" w:cs="Arial"/>
          <w:sz w:val="18"/>
          <w:szCs w:val="18"/>
          <w:lang w:eastAsia="zh-CN"/>
        </w:rPr>
        <w:t>非洲中东的四－五星级酒店有一些大堂会比较小，有些酒店楼层不高，有可能没有电梯；</w:t>
      </w:r>
    </w:p>
    <w:p>
      <w:pPr>
        <w:tabs>
          <w:tab w:val="left" w:pos="1140"/>
        </w:tabs>
        <w:spacing w:line="240" w:lineRule="atLeast"/>
        <w:rPr>
          <w:rFonts w:ascii="宋体" w:cs="Arial"/>
          <w:sz w:val="18"/>
          <w:szCs w:val="18"/>
        </w:rPr>
      </w:pPr>
      <w:r>
        <w:rPr>
          <w:rFonts w:ascii="宋体" w:hAnsi="宋体" w:cs="Arial"/>
          <w:sz w:val="18"/>
          <w:szCs w:val="18"/>
        </w:rPr>
        <w:t xml:space="preserve">    3</w:t>
      </w:r>
      <w:r>
        <w:rPr>
          <w:rFonts w:hint="eastAsia" w:ascii="宋体" w:hAnsi="宋体" w:cs="Arial"/>
          <w:sz w:val="18"/>
          <w:szCs w:val="18"/>
        </w:rPr>
        <w:t>）有些酒店的双人标准房会设置一大一小两张床，方便有小孩的家庭游客；还有些酒店双人房只设置一张大的双人大床，放置双份床上用品，有时是二张单人床拼在一起，用时可拉开；</w:t>
      </w:r>
    </w:p>
    <w:p>
      <w:pPr>
        <w:pStyle w:val="16"/>
        <w:widowControl w:val="0"/>
        <w:numPr>
          <w:ilvl w:val="0"/>
          <w:numId w:val="5"/>
        </w:numPr>
        <w:tabs>
          <w:tab w:val="left" w:pos="1140"/>
        </w:tabs>
        <w:spacing w:after="0" w:line="240" w:lineRule="atLeast"/>
        <w:jc w:val="both"/>
        <w:rPr>
          <w:rFonts w:ascii="宋体" w:cs="Arial"/>
          <w:sz w:val="18"/>
          <w:szCs w:val="18"/>
          <w:lang w:eastAsia="zh-CN"/>
        </w:rPr>
      </w:pPr>
      <w:r>
        <w:rPr>
          <w:rFonts w:hint="eastAsia" w:ascii="宋体" w:hAnsi="宋体" w:cs="Arial"/>
          <w:sz w:val="18"/>
          <w:szCs w:val="18"/>
          <w:lang w:eastAsia="zh-CN"/>
        </w:rPr>
        <w:t>由于各种原因如环保、如历史悠久、如气候较温和等，偶尔会有酒店无空调设备；</w:t>
      </w:r>
    </w:p>
    <w:p>
      <w:pPr>
        <w:pStyle w:val="16"/>
        <w:widowControl w:val="0"/>
        <w:numPr>
          <w:ilvl w:val="0"/>
          <w:numId w:val="5"/>
        </w:numPr>
        <w:tabs>
          <w:tab w:val="left" w:pos="1140"/>
        </w:tabs>
        <w:spacing w:after="0" w:line="240" w:lineRule="atLeast"/>
        <w:jc w:val="both"/>
        <w:rPr>
          <w:rFonts w:ascii="宋体" w:cs="Arial"/>
          <w:sz w:val="18"/>
          <w:szCs w:val="18"/>
          <w:lang w:eastAsia="zh-CN"/>
        </w:rPr>
      </w:pPr>
      <w:r>
        <w:rPr>
          <w:rFonts w:hint="eastAsia" w:ascii="宋体" w:hAnsi="宋体" w:cs="Arial"/>
          <w:sz w:val="18"/>
          <w:szCs w:val="18"/>
          <w:lang w:eastAsia="zh-CN"/>
        </w:rPr>
        <w:t>按照酒店惯例，每标间可接待两大人带一个</w:t>
      </w:r>
      <w:r>
        <w:rPr>
          <w:rFonts w:ascii="宋体" w:hAnsi="宋体" w:cs="Arial"/>
          <w:sz w:val="18"/>
          <w:szCs w:val="18"/>
          <w:lang w:eastAsia="zh-CN"/>
        </w:rPr>
        <w:t>1.2</w:t>
      </w:r>
      <w:r>
        <w:rPr>
          <w:rFonts w:hint="eastAsia" w:ascii="宋体" w:hAnsi="宋体" w:cs="Arial"/>
          <w:sz w:val="18"/>
          <w:szCs w:val="18"/>
          <w:lang w:eastAsia="zh-CN"/>
        </w:rPr>
        <w:t>米以下儿童（不占床），具体费用根据所报团队情况而定；若一个大人带一个</w:t>
      </w:r>
      <w:r>
        <w:rPr>
          <w:rFonts w:ascii="宋体" w:hAnsi="宋体" w:cs="Arial"/>
          <w:sz w:val="18"/>
          <w:szCs w:val="18"/>
          <w:lang w:eastAsia="zh-CN"/>
        </w:rPr>
        <w:t>1.2</w:t>
      </w:r>
      <w:r>
        <w:rPr>
          <w:rFonts w:hint="eastAsia" w:ascii="宋体" w:hAnsi="宋体" w:cs="Arial"/>
          <w:sz w:val="18"/>
          <w:szCs w:val="18"/>
          <w:lang w:eastAsia="zh-CN"/>
        </w:rPr>
        <w:t>米以下儿童参团，建议住一标间，以免给其他游客休息造成不便；</w:t>
      </w:r>
    </w:p>
    <w:p>
      <w:pPr>
        <w:spacing w:line="240" w:lineRule="atLeast"/>
        <w:rPr>
          <w:rFonts w:ascii="宋体"/>
          <w:sz w:val="18"/>
          <w:szCs w:val="18"/>
        </w:rPr>
      </w:pPr>
      <w:r>
        <w:rPr>
          <w:rFonts w:hint="eastAsia" w:ascii="宋体" w:hAnsi="宋体"/>
          <w:sz w:val="18"/>
          <w:szCs w:val="18"/>
        </w:rPr>
        <w:t>保险说明：</w:t>
      </w:r>
    </w:p>
    <w:p>
      <w:pPr>
        <w:numPr>
          <w:ilvl w:val="0"/>
          <w:numId w:val="6"/>
        </w:numPr>
        <w:spacing w:line="240" w:lineRule="atLeast"/>
        <w:ind w:left="851" w:hanging="284"/>
        <w:rPr>
          <w:rFonts w:ascii="宋体"/>
          <w:sz w:val="18"/>
          <w:szCs w:val="18"/>
        </w:rPr>
      </w:pPr>
      <w:r>
        <w:rPr>
          <w:rFonts w:hint="eastAsia" w:ascii="宋体" w:hAnsi="宋体"/>
          <w:sz w:val="18"/>
          <w:szCs w:val="18"/>
        </w:rPr>
        <w:t>我社所上境外旅游意外伤害保险，“</w:t>
      </w:r>
      <w:r>
        <w:rPr>
          <w:rFonts w:hint="eastAsia" w:ascii="宋体" w:hAnsi="宋体"/>
          <w:bCs/>
          <w:sz w:val="18"/>
          <w:szCs w:val="18"/>
        </w:rPr>
        <w:t>江泰太平洋之旅出境游（含边境游）保险方案一</w:t>
      </w:r>
      <w:r>
        <w:rPr>
          <w:rFonts w:hint="eastAsia" w:ascii="宋体" w:hAnsi="宋体"/>
          <w:sz w:val="18"/>
          <w:szCs w:val="18"/>
        </w:rPr>
        <w:t>”，此保险为我社代投保项目，游客所涉及到的任何保险问题请您直接与保险公司联系。（咨询及救援电话：</w:t>
      </w:r>
      <w:r>
        <w:rPr>
          <w:rFonts w:ascii="宋体" w:hAnsi="宋体"/>
          <w:sz w:val="18"/>
          <w:szCs w:val="18"/>
        </w:rPr>
        <w:t>86-10-66428888</w:t>
      </w:r>
      <w:r>
        <w:rPr>
          <w:rFonts w:hint="eastAsia" w:ascii="宋体" w:hAnsi="宋体"/>
          <w:sz w:val="18"/>
          <w:szCs w:val="18"/>
        </w:rPr>
        <w:t>）。</w:t>
      </w:r>
    </w:p>
    <w:p>
      <w:pPr>
        <w:numPr>
          <w:ilvl w:val="0"/>
          <w:numId w:val="6"/>
        </w:numPr>
        <w:spacing w:line="240" w:lineRule="atLeast"/>
        <w:ind w:left="808" w:leftChars="269" w:hanging="243" w:hangingChars="135"/>
        <w:rPr>
          <w:rFonts w:ascii="宋体"/>
          <w:sz w:val="18"/>
          <w:szCs w:val="18"/>
        </w:rPr>
      </w:pPr>
      <w:r>
        <w:rPr>
          <w:rFonts w:hint="eastAsia" w:ascii="宋体" w:hAnsi="宋体"/>
          <w:sz w:val="18"/>
          <w:szCs w:val="18"/>
        </w:rPr>
        <w:t>旅游意外伤害险不包括游客自身携带疾病、旧病复发，且在出团日前</w:t>
      </w:r>
      <w:r>
        <w:rPr>
          <w:rFonts w:ascii="宋体" w:hAnsi="宋体"/>
          <w:sz w:val="18"/>
          <w:szCs w:val="18"/>
        </w:rPr>
        <w:t>180</w:t>
      </w:r>
      <w:r>
        <w:rPr>
          <w:rFonts w:hint="eastAsia" w:ascii="宋体" w:hAnsi="宋体"/>
          <w:sz w:val="18"/>
          <w:szCs w:val="18"/>
        </w:rPr>
        <w:t>天内未经过治疗的疾病；（如心脏病复发、高血压、糖尿病并发症、移植手术复发、孕妇、精神病发作等等）。</w:t>
      </w:r>
    </w:p>
    <w:p>
      <w:pPr>
        <w:spacing w:line="240" w:lineRule="atLeast"/>
        <w:ind w:left="359" w:leftChars="171" w:firstLine="180" w:firstLineChars="100"/>
        <w:rPr>
          <w:rFonts w:ascii="宋体"/>
          <w:sz w:val="18"/>
          <w:szCs w:val="18"/>
        </w:rPr>
      </w:pPr>
      <w:r>
        <w:rPr>
          <w:rFonts w:ascii="宋体" w:hAnsi="宋体"/>
          <w:sz w:val="18"/>
          <w:szCs w:val="18"/>
        </w:rPr>
        <w:t>3)</w:t>
      </w:r>
      <w:r>
        <w:rPr>
          <w:rFonts w:ascii="宋体" w:hAnsi="宋体"/>
          <w:sz w:val="18"/>
          <w:szCs w:val="18"/>
        </w:rPr>
        <w:tab/>
      </w:r>
      <w:r>
        <w:rPr>
          <w:rFonts w:hint="eastAsia" w:ascii="宋体" w:hAnsi="宋体"/>
          <w:sz w:val="18"/>
          <w:szCs w:val="18"/>
        </w:rPr>
        <w:t>我社推荐客人根据自身情况额外补上医疗</w:t>
      </w:r>
      <w:r>
        <w:rPr>
          <w:rFonts w:ascii="宋体" w:hAnsi="宋体"/>
          <w:sz w:val="18"/>
          <w:szCs w:val="18"/>
        </w:rPr>
        <w:t>50</w:t>
      </w:r>
      <w:r>
        <w:rPr>
          <w:rFonts w:hint="eastAsia" w:ascii="宋体" w:hAnsi="宋体"/>
          <w:sz w:val="18"/>
          <w:szCs w:val="18"/>
        </w:rPr>
        <w:t>万或</w:t>
      </w:r>
      <w:r>
        <w:rPr>
          <w:rFonts w:ascii="宋体" w:hAnsi="宋体"/>
          <w:sz w:val="18"/>
          <w:szCs w:val="18"/>
        </w:rPr>
        <w:t>70</w:t>
      </w:r>
      <w:r>
        <w:rPr>
          <w:rFonts w:hint="eastAsia" w:ascii="宋体" w:hAnsi="宋体"/>
          <w:sz w:val="18"/>
          <w:szCs w:val="18"/>
        </w:rPr>
        <w:t>万的大额保险，费用自理。</w:t>
      </w:r>
    </w:p>
    <w:p>
      <w:pPr>
        <w:spacing w:line="240" w:lineRule="atLeast"/>
        <w:rPr>
          <w:rFonts w:ascii="宋体"/>
          <w:sz w:val="18"/>
          <w:szCs w:val="18"/>
        </w:rPr>
      </w:pPr>
      <w:r>
        <w:rPr>
          <w:rFonts w:hint="eastAsia" w:ascii="宋体" w:hAnsi="宋体"/>
          <w:sz w:val="18"/>
          <w:szCs w:val="18"/>
        </w:rPr>
        <w:t>退费说明：</w:t>
      </w:r>
    </w:p>
    <w:p>
      <w:pPr>
        <w:pStyle w:val="16"/>
        <w:widowControl w:val="0"/>
        <w:numPr>
          <w:ilvl w:val="0"/>
          <w:numId w:val="7"/>
        </w:numPr>
        <w:tabs>
          <w:tab w:val="left" w:pos="1140"/>
        </w:tabs>
        <w:spacing w:after="0" w:line="240" w:lineRule="atLeast"/>
        <w:jc w:val="both"/>
        <w:rPr>
          <w:rFonts w:ascii="宋体"/>
          <w:sz w:val="18"/>
          <w:szCs w:val="18"/>
          <w:lang w:eastAsia="zh-CN"/>
        </w:rPr>
      </w:pPr>
      <w:r>
        <w:rPr>
          <w:rFonts w:hint="eastAsia" w:ascii="宋体" w:hAnsi="宋体"/>
          <w:sz w:val="18"/>
          <w:szCs w:val="18"/>
          <w:lang w:eastAsia="zh-CN"/>
        </w:rPr>
        <w:t>如遇天气、战争、罢工、地震等人力不可抗力因素无法游览，我社将按照旅行社协议，退还未游览景点门票费用，但赠送项目费用不退；</w:t>
      </w:r>
    </w:p>
    <w:p>
      <w:pPr>
        <w:pStyle w:val="16"/>
        <w:widowControl w:val="0"/>
        <w:numPr>
          <w:ilvl w:val="0"/>
          <w:numId w:val="7"/>
        </w:numPr>
        <w:tabs>
          <w:tab w:val="left" w:pos="1140"/>
        </w:tabs>
        <w:spacing w:after="0" w:line="240" w:lineRule="atLeast"/>
        <w:jc w:val="both"/>
        <w:rPr>
          <w:rFonts w:ascii="宋体"/>
          <w:sz w:val="18"/>
          <w:szCs w:val="18"/>
          <w:lang w:eastAsia="zh-CN"/>
        </w:rPr>
      </w:pPr>
      <w:r>
        <w:rPr>
          <w:rFonts w:hint="eastAsia" w:ascii="宋体" w:hAnsi="宋体"/>
          <w:sz w:val="18"/>
          <w:szCs w:val="18"/>
          <w:lang w:eastAsia="zh-CN"/>
        </w:rPr>
        <w:t>游客因个人原因临时自愿放弃游览，酒店住宿、餐、车等费用均不退还；</w:t>
      </w:r>
    </w:p>
    <w:p>
      <w:pPr>
        <w:spacing w:line="240" w:lineRule="atLeast"/>
        <w:rPr>
          <w:rFonts w:ascii="宋体"/>
          <w:sz w:val="18"/>
          <w:szCs w:val="18"/>
        </w:rPr>
      </w:pPr>
      <w:r>
        <w:rPr>
          <w:rFonts w:hint="eastAsia" w:ascii="宋体" w:hAnsi="宋体"/>
          <w:sz w:val="18"/>
          <w:szCs w:val="18"/>
        </w:rPr>
        <w:t>补费说明：</w:t>
      </w:r>
    </w:p>
    <w:p>
      <w:pPr>
        <w:pStyle w:val="16"/>
        <w:widowControl w:val="0"/>
        <w:numPr>
          <w:ilvl w:val="0"/>
          <w:numId w:val="8"/>
        </w:numPr>
        <w:tabs>
          <w:tab w:val="left" w:pos="1140"/>
        </w:tabs>
        <w:spacing w:after="0" w:line="240" w:lineRule="atLeast"/>
        <w:jc w:val="both"/>
        <w:rPr>
          <w:rFonts w:ascii="宋体"/>
          <w:sz w:val="18"/>
          <w:szCs w:val="18"/>
          <w:lang w:eastAsia="zh-CN"/>
        </w:rPr>
      </w:pPr>
      <w:r>
        <w:rPr>
          <w:rFonts w:hint="eastAsia" w:ascii="宋体" w:hAnsi="宋体"/>
          <w:sz w:val="18"/>
          <w:szCs w:val="18"/>
          <w:lang w:eastAsia="zh-CN"/>
        </w:rPr>
        <w:t>如遇航空公司政策性调整机票价格，请按规定补交差价。机票价格为团队机票，不得改签换人退票；</w:t>
      </w:r>
    </w:p>
    <w:p>
      <w:pPr>
        <w:pStyle w:val="16"/>
        <w:widowControl w:val="0"/>
        <w:numPr>
          <w:ilvl w:val="0"/>
          <w:numId w:val="8"/>
        </w:numPr>
        <w:tabs>
          <w:tab w:val="left" w:pos="1140"/>
        </w:tabs>
        <w:spacing w:after="0" w:line="240" w:lineRule="atLeast"/>
        <w:jc w:val="both"/>
        <w:rPr>
          <w:rFonts w:ascii="宋体"/>
          <w:sz w:val="18"/>
          <w:szCs w:val="18"/>
          <w:lang w:eastAsia="zh-CN"/>
        </w:rPr>
      </w:pPr>
      <w:r>
        <w:rPr>
          <w:rFonts w:hint="eastAsia" w:ascii="宋体" w:hAnsi="宋体"/>
          <w:sz w:val="18"/>
          <w:szCs w:val="18"/>
          <w:lang w:eastAsia="zh-CN"/>
        </w:rPr>
        <w:t>如果旅游目的地国家政策性调整门票或其他相关价格，请按规定补交差价；</w:t>
      </w:r>
    </w:p>
    <w:p>
      <w:pPr>
        <w:spacing w:line="240" w:lineRule="atLeast"/>
        <w:rPr>
          <w:rFonts w:ascii="宋体"/>
          <w:sz w:val="18"/>
          <w:szCs w:val="18"/>
        </w:rPr>
      </w:pPr>
      <w:r>
        <w:rPr>
          <w:rFonts w:hint="eastAsia" w:ascii="宋体" w:hAnsi="宋体"/>
          <w:sz w:val="18"/>
          <w:szCs w:val="18"/>
        </w:rPr>
        <w:t>其他说明：</w:t>
      </w:r>
    </w:p>
    <w:p>
      <w:pPr>
        <w:widowControl/>
        <w:numPr>
          <w:ilvl w:val="0"/>
          <w:numId w:val="8"/>
        </w:numPr>
        <w:spacing w:after="200" w:line="240" w:lineRule="atLeast"/>
        <w:jc w:val="left"/>
        <w:rPr>
          <w:rFonts w:ascii="宋体"/>
          <w:sz w:val="18"/>
          <w:szCs w:val="18"/>
        </w:rPr>
      </w:pPr>
      <w:r>
        <w:rPr>
          <w:rFonts w:hint="eastAsia" w:ascii="宋体" w:hAnsi="宋体"/>
          <w:sz w:val="18"/>
          <w:szCs w:val="18"/>
        </w:rPr>
        <w:t>质量反馈表，我社处理游客意见，以游客交回的《客人评议表》为依据，请您秉着公平、公正、实事求是的原则填写《客人评议表》；</w:t>
      </w:r>
    </w:p>
    <w:p>
      <w:pPr>
        <w:spacing w:line="240" w:lineRule="atLeast"/>
        <w:jc w:val="center"/>
        <w:rPr>
          <w:rFonts w:ascii="宋体" w:hAnsi="宋体"/>
          <w:b/>
          <w:color w:val="FF0000"/>
          <w:sz w:val="18"/>
          <w:szCs w:val="18"/>
        </w:rPr>
      </w:pPr>
      <w:r>
        <w:rPr>
          <w:rFonts w:hint="eastAsia" w:ascii="宋体" w:hAnsi="宋体"/>
          <w:b/>
          <w:color w:val="FF0000"/>
          <w:sz w:val="18"/>
          <w:szCs w:val="18"/>
        </w:rPr>
        <w:t>境外购物补充协议说明确认</w:t>
      </w:r>
    </w:p>
    <w:p>
      <w:pPr>
        <w:rPr>
          <w:rFonts w:ascii="宋体" w:hAnsi="宋体"/>
          <w:sz w:val="18"/>
          <w:szCs w:val="18"/>
        </w:rPr>
      </w:pPr>
      <w:r>
        <w:rPr>
          <w:rFonts w:hint="eastAsia" w:ascii="宋体" w:hAnsi="宋体"/>
          <w:sz w:val="18"/>
          <w:szCs w:val="18"/>
        </w:rPr>
        <w:drawing>
          <wp:anchor distT="0" distB="0" distL="114300" distR="114300" simplePos="0" relativeHeight="251723776" behindDoc="1" locked="0" layoutInCell="1" allowOverlap="1">
            <wp:simplePos x="0" y="0"/>
            <wp:positionH relativeFrom="column">
              <wp:posOffset>7239000</wp:posOffset>
            </wp:positionH>
            <wp:positionV relativeFrom="paragraph">
              <wp:posOffset>1707515</wp:posOffset>
            </wp:positionV>
            <wp:extent cx="7572375" cy="10706100"/>
            <wp:effectExtent l="0" t="0" r="9525" b="0"/>
            <wp:wrapNone/>
            <wp:docPr id="2"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宋体" w:hAnsi="宋体"/>
          <w:sz w:val="18"/>
          <w:szCs w:val="18"/>
        </w:rPr>
        <w:t>经旅游者与旅行社双方充分协商，就本次旅游的购物场所达成一致，旅游者自愿签署本补充协议。</w:t>
      </w:r>
    </w:p>
    <w:p>
      <w:pPr>
        <w:rPr>
          <w:rFonts w:ascii="宋体" w:hAnsi="宋体"/>
          <w:sz w:val="18"/>
          <w:szCs w:val="18"/>
        </w:rPr>
      </w:pPr>
    </w:p>
    <w:tbl>
      <w:tblPr>
        <w:tblStyle w:val="11"/>
        <w:tblpPr w:leftFromText="180" w:rightFromText="180" w:vertAnchor="text" w:horzAnchor="margin" w:tblpXSpec="center" w:tblpY="165"/>
        <w:tblW w:w="6007" w:type="dxa"/>
        <w:tblInd w:w="0" w:type="dxa"/>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
      <w:tblGrid>
        <w:gridCol w:w="702"/>
        <w:gridCol w:w="1995"/>
        <w:gridCol w:w="1498"/>
        <w:gridCol w:w="1812"/>
      </w:tblGrid>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10" w:hRule="atLeast"/>
        </w:trPr>
        <w:tc>
          <w:tcPr>
            <w:tcW w:w="702" w:type="dxa"/>
            <w:vAlign w:val="center"/>
          </w:tcPr>
          <w:p>
            <w:pPr>
              <w:jc w:val="center"/>
              <w:rPr>
                <w:rFonts w:ascii="宋体" w:cs="宋体"/>
                <w:b/>
                <w:bCs/>
                <w:color w:val="000000"/>
                <w:sz w:val="18"/>
                <w:szCs w:val="18"/>
              </w:rPr>
            </w:pPr>
            <w:r>
              <w:rPr>
                <w:rFonts w:hint="eastAsia" w:ascii="宋体" w:hAnsi="宋体" w:cs="宋体"/>
                <w:b/>
                <w:bCs/>
                <w:color w:val="000000"/>
                <w:sz w:val="18"/>
                <w:szCs w:val="18"/>
              </w:rPr>
              <w:t>序号</w:t>
            </w:r>
          </w:p>
        </w:tc>
        <w:tc>
          <w:tcPr>
            <w:tcW w:w="1995" w:type="dxa"/>
            <w:vAlign w:val="center"/>
          </w:tcPr>
          <w:p>
            <w:pPr>
              <w:jc w:val="center"/>
              <w:rPr>
                <w:rFonts w:ascii="宋体" w:cs="宋体"/>
                <w:b/>
                <w:bCs/>
                <w:color w:val="000000"/>
                <w:sz w:val="18"/>
                <w:szCs w:val="18"/>
              </w:rPr>
            </w:pPr>
            <w:r>
              <w:rPr>
                <w:rFonts w:hint="eastAsia" w:ascii="宋体" w:hAnsi="宋体" w:cs="宋体"/>
                <w:b/>
                <w:bCs/>
                <w:color w:val="000000"/>
                <w:sz w:val="18"/>
                <w:szCs w:val="18"/>
              </w:rPr>
              <w:t>城市</w:t>
            </w:r>
          </w:p>
        </w:tc>
        <w:tc>
          <w:tcPr>
            <w:tcW w:w="1498" w:type="dxa"/>
            <w:vAlign w:val="center"/>
          </w:tcPr>
          <w:p>
            <w:pPr>
              <w:jc w:val="center"/>
              <w:rPr>
                <w:rFonts w:ascii="宋体" w:cs="宋体"/>
                <w:b/>
                <w:bCs/>
                <w:color w:val="000000"/>
                <w:sz w:val="18"/>
                <w:szCs w:val="18"/>
              </w:rPr>
            </w:pPr>
            <w:r>
              <w:rPr>
                <w:rFonts w:hint="eastAsia" w:ascii="宋体" w:hAnsi="宋体" w:cs="宋体"/>
                <w:b/>
                <w:bCs/>
                <w:color w:val="000000"/>
                <w:sz w:val="18"/>
                <w:szCs w:val="18"/>
              </w:rPr>
              <w:t>停留时间</w:t>
            </w:r>
          </w:p>
        </w:tc>
        <w:tc>
          <w:tcPr>
            <w:tcW w:w="1812" w:type="dxa"/>
            <w:vAlign w:val="center"/>
          </w:tcPr>
          <w:p>
            <w:pPr>
              <w:jc w:val="center"/>
              <w:rPr>
                <w:rFonts w:ascii="宋体" w:cs="宋体"/>
                <w:b/>
                <w:bCs/>
                <w:color w:val="000000"/>
                <w:sz w:val="18"/>
                <w:szCs w:val="18"/>
              </w:rPr>
            </w:pPr>
            <w:r>
              <w:rPr>
                <w:rFonts w:hint="eastAsia" w:ascii="宋体" w:hAnsi="宋体" w:cs="宋体"/>
                <w:b/>
                <w:bCs/>
                <w:color w:val="000000"/>
                <w:sz w:val="18"/>
                <w:szCs w:val="18"/>
              </w:rPr>
              <w:t>商品说明</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439" w:hRule="atLeast"/>
        </w:trPr>
        <w:tc>
          <w:tcPr>
            <w:tcW w:w="702" w:type="dxa"/>
            <w:vAlign w:val="center"/>
          </w:tcPr>
          <w:p>
            <w:pPr>
              <w:jc w:val="center"/>
              <w:rPr>
                <w:rFonts w:ascii="宋体" w:cs="Arial"/>
                <w:bCs/>
                <w:sz w:val="18"/>
                <w:szCs w:val="18"/>
                <w:lang w:val="zh-CN"/>
              </w:rPr>
            </w:pPr>
            <w:r>
              <w:rPr>
                <w:rFonts w:ascii="宋体" w:hAnsi="宋体" w:cs="Arial"/>
                <w:bCs/>
                <w:sz w:val="18"/>
                <w:szCs w:val="18"/>
                <w:lang w:val="zh-CN"/>
              </w:rPr>
              <w:t>1</w:t>
            </w:r>
          </w:p>
        </w:tc>
        <w:tc>
          <w:tcPr>
            <w:tcW w:w="1995" w:type="dxa"/>
            <w:vAlign w:val="center"/>
          </w:tcPr>
          <w:p>
            <w:pPr>
              <w:jc w:val="center"/>
              <w:rPr>
                <w:rFonts w:ascii="宋体" w:cs="Arial"/>
                <w:bCs/>
                <w:sz w:val="18"/>
                <w:szCs w:val="18"/>
                <w:lang w:val="zh-CN"/>
              </w:rPr>
            </w:pPr>
            <w:r>
              <w:rPr>
                <w:rFonts w:hint="eastAsia" w:ascii="宋体" w:hAnsi="宋体" w:cs="Arial"/>
                <w:bCs/>
                <w:sz w:val="18"/>
                <w:szCs w:val="18"/>
                <w:lang w:val="zh-CN"/>
              </w:rPr>
              <w:t>伊斯坦布尔</w:t>
            </w:r>
          </w:p>
        </w:tc>
        <w:tc>
          <w:tcPr>
            <w:tcW w:w="1498"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cs="Arial"/>
                <w:bCs/>
                <w:sz w:val="18"/>
                <w:szCs w:val="18"/>
                <w:lang w:val="zh-CN"/>
              </w:rPr>
            </w:pPr>
            <w:r>
              <w:rPr>
                <w:rFonts w:hint="eastAsia" w:ascii="宋体" w:hAnsi="宋体" w:cs="Arial"/>
                <w:bCs/>
                <w:sz w:val="18"/>
                <w:szCs w:val="18"/>
                <w:lang w:val="zh-CN"/>
              </w:rPr>
              <w:t>珠宝</w:t>
            </w:r>
            <w:r>
              <w:rPr>
                <w:rFonts w:ascii="宋体" w:hAnsi="宋体" w:cs="Arial"/>
                <w:bCs/>
                <w:sz w:val="18"/>
                <w:szCs w:val="18"/>
                <w:lang w:val="zh-CN"/>
              </w:rPr>
              <w:t>+</w:t>
            </w:r>
            <w:r>
              <w:rPr>
                <w:rFonts w:hint="eastAsia" w:ascii="宋体" w:hAnsi="宋体" w:cs="Arial"/>
                <w:bCs/>
                <w:sz w:val="18"/>
                <w:szCs w:val="18"/>
                <w:lang w:val="zh-CN"/>
              </w:rPr>
              <w:t>手表</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33" w:hRule="atLeast"/>
        </w:trPr>
        <w:tc>
          <w:tcPr>
            <w:tcW w:w="702" w:type="dxa"/>
            <w:vAlign w:val="center"/>
          </w:tcPr>
          <w:p>
            <w:pPr>
              <w:jc w:val="center"/>
              <w:rPr>
                <w:rFonts w:ascii="宋体" w:cs="Arial"/>
                <w:bCs/>
                <w:sz w:val="18"/>
                <w:szCs w:val="18"/>
                <w:lang w:val="zh-CN"/>
              </w:rPr>
            </w:pPr>
            <w:r>
              <w:rPr>
                <w:rFonts w:ascii="宋体" w:hAnsi="宋体" w:cs="Arial"/>
                <w:bCs/>
                <w:sz w:val="18"/>
                <w:szCs w:val="18"/>
                <w:lang w:val="zh-CN"/>
              </w:rPr>
              <w:t>2</w:t>
            </w:r>
          </w:p>
        </w:tc>
        <w:tc>
          <w:tcPr>
            <w:tcW w:w="1995" w:type="dxa"/>
            <w:vAlign w:val="center"/>
          </w:tcPr>
          <w:p>
            <w:pPr>
              <w:jc w:val="center"/>
              <w:rPr>
                <w:rFonts w:ascii="宋体" w:cs="Arial"/>
                <w:bCs/>
                <w:sz w:val="18"/>
                <w:szCs w:val="18"/>
                <w:lang w:val="zh-CN"/>
              </w:rPr>
            </w:pPr>
            <w:r>
              <w:rPr>
                <w:rFonts w:hint="eastAsia" w:ascii="宋体" w:hAnsi="宋体" w:cs="Arial"/>
                <w:bCs/>
                <w:sz w:val="18"/>
                <w:szCs w:val="18"/>
                <w:lang w:val="zh-CN"/>
              </w:rPr>
              <w:t>库</w:t>
            </w:r>
            <w:r>
              <w:rPr>
                <w:rFonts w:hint="eastAsia" w:ascii="宋体" w:hAnsi="宋体" w:cs="Arial"/>
                <w:bCs/>
                <w:sz w:val="18"/>
                <w:szCs w:val="18"/>
              </w:rPr>
              <w:t>萨</w:t>
            </w:r>
            <w:r>
              <w:rPr>
                <w:rFonts w:hint="eastAsia" w:ascii="宋体" w:hAnsi="宋体" w:cs="Arial"/>
                <w:bCs/>
                <w:sz w:val="18"/>
                <w:szCs w:val="18"/>
                <w:lang w:val="zh-CN"/>
              </w:rPr>
              <w:t>达斯</w:t>
            </w:r>
          </w:p>
        </w:tc>
        <w:tc>
          <w:tcPr>
            <w:tcW w:w="1498"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cs="Arial"/>
                <w:bCs/>
                <w:sz w:val="18"/>
                <w:szCs w:val="18"/>
                <w:lang w:val="zh-CN"/>
              </w:rPr>
            </w:pPr>
            <w:r>
              <w:rPr>
                <w:rFonts w:hint="eastAsia" w:ascii="宋体" w:hAnsi="宋体" w:cs="Arial"/>
                <w:bCs/>
                <w:sz w:val="18"/>
                <w:szCs w:val="18"/>
                <w:lang w:val="zh-CN"/>
              </w:rPr>
              <w:t>皮衣</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34" w:hRule="atLeast"/>
        </w:trPr>
        <w:tc>
          <w:tcPr>
            <w:tcW w:w="702" w:type="dxa"/>
            <w:vAlign w:val="center"/>
          </w:tcPr>
          <w:p>
            <w:pPr>
              <w:jc w:val="center"/>
              <w:rPr>
                <w:rFonts w:ascii="宋体" w:cs="Arial"/>
                <w:bCs/>
                <w:sz w:val="18"/>
                <w:szCs w:val="18"/>
                <w:lang w:val="zh-CN"/>
              </w:rPr>
            </w:pPr>
            <w:r>
              <w:rPr>
                <w:rFonts w:ascii="宋体" w:hAnsi="宋体" w:cs="Arial"/>
                <w:bCs/>
                <w:sz w:val="18"/>
                <w:szCs w:val="18"/>
                <w:lang w:val="zh-CN"/>
              </w:rPr>
              <w:t>3</w:t>
            </w:r>
          </w:p>
        </w:tc>
        <w:tc>
          <w:tcPr>
            <w:tcW w:w="1995" w:type="dxa"/>
            <w:vAlign w:val="center"/>
          </w:tcPr>
          <w:p>
            <w:pPr>
              <w:jc w:val="center"/>
              <w:rPr>
                <w:rFonts w:ascii="宋体" w:cs="Arial"/>
                <w:bCs/>
                <w:sz w:val="18"/>
                <w:szCs w:val="18"/>
                <w:lang w:val="zh-CN"/>
              </w:rPr>
            </w:pPr>
            <w:r>
              <w:rPr>
                <w:rFonts w:hint="eastAsia" w:ascii="宋体" w:hAnsi="宋体" w:cs="Arial"/>
                <w:bCs/>
                <w:sz w:val="18"/>
                <w:szCs w:val="18"/>
                <w:lang w:val="zh-CN"/>
              </w:rPr>
              <w:t>卡帕多奇亚</w:t>
            </w:r>
          </w:p>
        </w:tc>
        <w:tc>
          <w:tcPr>
            <w:tcW w:w="1498"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cs="Arial"/>
                <w:bCs/>
                <w:sz w:val="18"/>
                <w:szCs w:val="18"/>
                <w:lang w:val="zh-CN"/>
              </w:rPr>
            </w:pPr>
            <w:r>
              <w:rPr>
                <w:rFonts w:hint="eastAsia" w:ascii="宋体" w:hAnsi="宋体" w:cs="Arial"/>
                <w:bCs/>
                <w:sz w:val="18"/>
                <w:szCs w:val="18"/>
                <w:lang w:val="zh-CN"/>
              </w:rPr>
              <w:t>地毯</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214" w:hRule="atLeast"/>
        </w:trPr>
        <w:tc>
          <w:tcPr>
            <w:tcW w:w="702" w:type="dxa"/>
            <w:vAlign w:val="center"/>
          </w:tcPr>
          <w:p>
            <w:pPr>
              <w:jc w:val="center"/>
              <w:rPr>
                <w:rFonts w:ascii="宋体" w:hAnsi="宋体" w:cs="Arial"/>
                <w:bCs/>
                <w:sz w:val="18"/>
                <w:szCs w:val="18"/>
              </w:rPr>
            </w:pPr>
            <w:r>
              <w:rPr>
                <w:rFonts w:hint="eastAsia" w:ascii="宋体" w:hAnsi="宋体" w:cs="Arial"/>
                <w:bCs/>
                <w:sz w:val="18"/>
                <w:szCs w:val="18"/>
              </w:rPr>
              <w:t>4</w:t>
            </w:r>
          </w:p>
        </w:tc>
        <w:tc>
          <w:tcPr>
            <w:tcW w:w="1995" w:type="dxa"/>
            <w:vAlign w:val="center"/>
          </w:tcPr>
          <w:p>
            <w:pPr>
              <w:jc w:val="center"/>
              <w:rPr>
                <w:rFonts w:ascii="宋体" w:hAnsi="宋体" w:cs="Arial"/>
                <w:bCs/>
                <w:sz w:val="18"/>
                <w:szCs w:val="18"/>
                <w:lang w:val="zh-CN"/>
              </w:rPr>
            </w:pPr>
            <w:r>
              <w:rPr>
                <w:rFonts w:hint="eastAsia" w:ascii="宋体" w:hAnsi="宋体" w:cs="Arial"/>
                <w:bCs/>
                <w:sz w:val="18"/>
                <w:szCs w:val="18"/>
                <w:lang w:val="zh-CN"/>
              </w:rPr>
              <w:t>卡帕多奇亚</w:t>
            </w:r>
          </w:p>
        </w:tc>
        <w:tc>
          <w:tcPr>
            <w:tcW w:w="1498" w:type="dxa"/>
            <w:vAlign w:val="center"/>
          </w:tcPr>
          <w:p>
            <w:pPr>
              <w:jc w:val="center"/>
              <w:rPr>
                <w:rFonts w:ascii="宋体" w:hAns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hAnsi="宋体" w:cs="Arial"/>
                <w:bCs/>
                <w:sz w:val="18"/>
                <w:szCs w:val="18"/>
              </w:rPr>
            </w:pPr>
            <w:r>
              <w:rPr>
                <w:rFonts w:hint="eastAsia" w:ascii="宋体" w:hAnsi="宋体" w:cs="Arial"/>
                <w:bCs/>
                <w:sz w:val="18"/>
                <w:szCs w:val="18"/>
              </w:rPr>
              <w:t>陶瓷</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214" w:hRule="atLeast"/>
        </w:trPr>
        <w:tc>
          <w:tcPr>
            <w:tcW w:w="702" w:type="dxa"/>
            <w:vAlign w:val="center"/>
          </w:tcPr>
          <w:p>
            <w:pPr>
              <w:jc w:val="center"/>
              <w:rPr>
                <w:rFonts w:ascii="宋体" w:cs="Arial"/>
                <w:bCs/>
                <w:sz w:val="18"/>
                <w:szCs w:val="18"/>
              </w:rPr>
            </w:pPr>
            <w:r>
              <w:rPr>
                <w:rFonts w:hint="eastAsia" w:ascii="宋体" w:cs="Arial"/>
                <w:bCs/>
                <w:sz w:val="18"/>
                <w:szCs w:val="18"/>
              </w:rPr>
              <w:t>5</w:t>
            </w:r>
          </w:p>
        </w:tc>
        <w:tc>
          <w:tcPr>
            <w:tcW w:w="1995" w:type="dxa"/>
            <w:vAlign w:val="center"/>
          </w:tcPr>
          <w:p>
            <w:pPr>
              <w:jc w:val="center"/>
              <w:rPr>
                <w:rFonts w:ascii="宋体" w:cs="Arial"/>
                <w:bCs/>
                <w:sz w:val="18"/>
                <w:szCs w:val="18"/>
                <w:lang w:val="zh-CN"/>
              </w:rPr>
            </w:pPr>
            <w:r>
              <w:rPr>
                <w:rFonts w:hint="eastAsia" w:ascii="宋体" w:hAnsi="宋体" w:cs="Arial"/>
                <w:bCs/>
                <w:sz w:val="18"/>
                <w:szCs w:val="18"/>
                <w:lang w:val="zh-CN"/>
              </w:rPr>
              <w:t>帕姆卡莱</w:t>
            </w:r>
          </w:p>
        </w:tc>
        <w:tc>
          <w:tcPr>
            <w:tcW w:w="1498"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cs="Arial"/>
                <w:bCs/>
                <w:sz w:val="18"/>
                <w:szCs w:val="18"/>
                <w:lang w:val="zh-CN"/>
              </w:rPr>
            </w:pPr>
            <w:r>
              <w:rPr>
                <w:rFonts w:hint="eastAsia" w:ascii="宋体" w:hAnsi="宋体" w:cs="Arial"/>
                <w:bCs/>
                <w:sz w:val="18"/>
                <w:szCs w:val="18"/>
                <w:lang w:val="zh-CN"/>
              </w:rPr>
              <w:t>棉纺织店</w:t>
            </w:r>
          </w:p>
        </w:tc>
      </w:tr>
      <w:tr>
        <w:tblPrEx>
          <w:tblBorders>
            <w:top w:val="double" w:color="1F497D" w:sz="2" w:space="0"/>
            <w:left w:val="double" w:color="1F497D" w:sz="2" w:space="0"/>
            <w:bottom w:val="double" w:color="1F497D" w:sz="2" w:space="0"/>
            <w:right w:val="double" w:color="1F497D" w:sz="2" w:space="0"/>
            <w:insideH w:val="double" w:color="1F497D" w:sz="2" w:space="0"/>
            <w:insideV w:val="double" w:color="1F497D" w:sz="2" w:space="0"/>
          </w:tblBorders>
          <w:tblLayout w:type="fixed"/>
          <w:tblCellMar>
            <w:top w:w="0" w:type="dxa"/>
            <w:left w:w="108" w:type="dxa"/>
            <w:bottom w:w="0" w:type="dxa"/>
            <w:right w:w="108" w:type="dxa"/>
          </w:tblCellMar>
        </w:tblPrEx>
        <w:trPr>
          <w:trHeight w:val="329" w:hRule="atLeast"/>
        </w:trPr>
        <w:tc>
          <w:tcPr>
            <w:tcW w:w="702" w:type="dxa"/>
            <w:vAlign w:val="center"/>
          </w:tcPr>
          <w:p>
            <w:pPr>
              <w:jc w:val="center"/>
              <w:rPr>
                <w:rFonts w:ascii="宋体" w:cs="Arial"/>
                <w:bCs/>
                <w:sz w:val="18"/>
                <w:szCs w:val="18"/>
              </w:rPr>
            </w:pPr>
            <w:r>
              <w:rPr>
                <w:rFonts w:hint="eastAsia" w:ascii="宋体" w:cs="Arial"/>
                <w:bCs/>
                <w:sz w:val="18"/>
                <w:szCs w:val="18"/>
              </w:rPr>
              <w:t>6</w:t>
            </w:r>
          </w:p>
        </w:tc>
        <w:tc>
          <w:tcPr>
            <w:tcW w:w="1995" w:type="dxa"/>
            <w:vAlign w:val="center"/>
          </w:tcPr>
          <w:p>
            <w:pPr>
              <w:jc w:val="center"/>
              <w:rPr>
                <w:rFonts w:ascii="宋体" w:cs="Arial"/>
                <w:bCs/>
                <w:sz w:val="18"/>
                <w:szCs w:val="18"/>
                <w:lang w:val="zh-CN"/>
              </w:rPr>
            </w:pPr>
            <w:r>
              <w:rPr>
                <w:rFonts w:hint="eastAsia" w:ascii="宋体" w:hAnsi="宋体" w:cs="Arial"/>
                <w:bCs/>
                <w:sz w:val="18"/>
                <w:szCs w:val="18"/>
                <w:lang w:val="zh-CN"/>
              </w:rPr>
              <w:t>伊斯坦布尔</w:t>
            </w:r>
            <w:r>
              <w:rPr>
                <w:rFonts w:hint="eastAsia" w:ascii="宋体" w:hAnsi="宋体" w:cs="Arial"/>
                <w:bCs/>
                <w:sz w:val="18"/>
                <w:szCs w:val="18"/>
              </w:rPr>
              <w:t>/</w:t>
            </w:r>
            <w:r>
              <w:rPr>
                <w:rFonts w:hint="eastAsia" w:ascii="宋体" w:hAnsi="宋体" w:cs="Arial"/>
                <w:bCs/>
                <w:sz w:val="18"/>
                <w:szCs w:val="18"/>
                <w:lang w:val="zh-CN"/>
              </w:rPr>
              <w:t>库</w:t>
            </w:r>
            <w:r>
              <w:rPr>
                <w:rFonts w:hint="eastAsia" w:ascii="宋体" w:hAnsi="宋体" w:cs="Arial"/>
                <w:bCs/>
                <w:sz w:val="18"/>
                <w:szCs w:val="18"/>
              </w:rPr>
              <w:t>萨</w:t>
            </w:r>
            <w:r>
              <w:rPr>
                <w:rFonts w:hint="eastAsia" w:ascii="宋体" w:hAnsi="宋体" w:cs="Arial"/>
                <w:bCs/>
                <w:sz w:val="18"/>
                <w:szCs w:val="18"/>
                <w:lang w:val="zh-CN"/>
              </w:rPr>
              <w:t>达斯</w:t>
            </w:r>
          </w:p>
        </w:tc>
        <w:tc>
          <w:tcPr>
            <w:tcW w:w="1498" w:type="dxa"/>
            <w:vAlign w:val="center"/>
          </w:tcPr>
          <w:p>
            <w:pPr>
              <w:jc w:val="center"/>
              <w:rPr>
                <w:rFonts w:ascii="宋体" w:cs="Arial"/>
                <w:bCs/>
                <w:sz w:val="18"/>
                <w:szCs w:val="18"/>
                <w:lang w:val="zh-CN"/>
              </w:rPr>
            </w:pPr>
            <w:r>
              <w:rPr>
                <w:rFonts w:ascii="宋体" w:hAnsi="宋体" w:cs="Arial"/>
                <w:bCs/>
                <w:sz w:val="18"/>
                <w:szCs w:val="18"/>
                <w:lang w:val="zh-CN"/>
              </w:rPr>
              <w:t>1</w:t>
            </w:r>
            <w:r>
              <w:rPr>
                <w:rFonts w:hint="eastAsia" w:ascii="宋体" w:hAnsi="宋体" w:cs="Arial"/>
                <w:bCs/>
                <w:sz w:val="18"/>
                <w:szCs w:val="18"/>
                <w:lang w:val="zh-CN"/>
              </w:rPr>
              <w:t>个半小时</w:t>
            </w:r>
          </w:p>
        </w:tc>
        <w:tc>
          <w:tcPr>
            <w:tcW w:w="1812" w:type="dxa"/>
            <w:vAlign w:val="center"/>
          </w:tcPr>
          <w:p>
            <w:pPr>
              <w:jc w:val="center"/>
              <w:rPr>
                <w:rFonts w:ascii="宋体" w:cs="Arial"/>
                <w:bCs/>
                <w:sz w:val="18"/>
                <w:szCs w:val="18"/>
                <w:lang w:val="zh-CN"/>
              </w:rPr>
            </w:pPr>
            <w:r>
              <w:rPr>
                <w:rFonts w:hint="eastAsia" w:ascii="宋体" w:hAnsi="宋体" w:cs="Arial"/>
                <w:bCs/>
                <w:sz w:val="18"/>
                <w:szCs w:val="18"/>
                <w:lang w:val="zh-CN"/>
              </w:rPr>
              <w:t>糖果店</w:t>
            </w:r>
          </w:p>
        </w:tc>
      </w:tr>
    </w:tbl>
    <w:p>
      <w:pPr>
        <w:spacing w:line="240" w:lineRule="atLeast"/>
        <w:ind w:left="780"/>
        <w:jc w:val="center"/>
        <w:rPr>
          <w:rFonts w:ascii="宋体"/>
          <w:b/>
          <w:sz w:val="18"/>
          <w:szCs w:val="18"/>
        </w:rPr>
      </w:pPr>
      <w:r>
        <w:rPr>
          <w:rFonts w:ascii="宋体"/>
          <w:b/>
          <w:sz w:val="18"/>
          <w:szCs w:val="18"/>
        </w:rPr>
        <w:drawing>
          <wp:anchor distT="0" distB="0" distL="114300" distR="114300" simplePos="0" relativeHeight="251726848" behindDoc="1" locked="0" layoutInCell="1" allowOverlap="1">
            <wp:simplePos x="0" y="0"/>
            <wp:positionH relativeFrom="column">
              <wp:posOffset>6724650</wp:posOffset>
            </wp:positionH>
            <wp:positionV relativeFrom="paragraph">
              <wp:posOffset>-495300</wp:posOffset>
            </wp:positionV>
            <wp:extent cx="7572375" cy="10706100"/>
            <wp:effectExtent l="0" t="0" r="9525" b="0"/>
            <wp:wrapNone/>
            <wp:docPr id="2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p>
    <w:p>
      <w:pPr>
        <w:shd w:val="solid" w:color="FFFFFF" w:fill="auto"/>
        <w:autoSpaceDN w:val="0"/>
        <w:spacing w:after="75" w:line="240" w:lineRule="exact"/>
        <w:jc w:val="center"/>
        <w:rPr>
          <w:rFonts w:ascii="宋体" w:hAnsi="宋体"/>
          <w:sz w:val="18"/>
          <w:szCs w:val="18"/>
        </w:rPr>
      </w:pPr>
    </w:p>
    <w:p>
      <w:pPr>
        <w:shd w:val="solid" w:color="FFFFFF" w:fill="auto"/>
        <w:autoSpaceDN w:val="0"/>
        <w:spacing w:after="75" w:line="240" w:lineRule="exact"/>
        <w:jc w:val="center"/>
        <w:rPr>
          <w:rFonts w:ascii="宋体" w:hAnsi="宋体"/>
          <w:sz w:val="18"/>
          <w:szCs w:val="18"/>
        </w:rPr>
      </w:pPr>
    </w:p>
    <w:p>
      <w:pPr>
        <w:shd w:val="solid" w:color="FFFFFF" w:fill="auto"/>
        <w:autoSpaceDN w:val="0"/>
        <w:spacing w:after="75" w:line="240" w:lineRule="exact"/>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hAnsi="宋体"/>
          <w:b/>
          <w:color w:val="FF0000"/>
          <w:sz w:val="18"/>
          <w:szCs w:val="18"/>
          <w:shd w:val="clear" w:color="auto" w:fill="FFFFFF"/>
        </w:rPr>
      </w:pPr>
      <w:r>
        <w:rPr>
          <w:rFonts w:hint="eastAsia" w:ascii="宋体" w:hAnsi="宋体"/>
          <w:b/>
          <w:color w:val="FF0000"/>
          <w:sz w:val="18"/>
          <w:szCs w:val="18"/>
          <w:shd w:val="clear" w:color="auto" w:fill="FFFFFF"/>
        </w:rPr>
        <w:t>推荐活动参考（需自费）</w:t>
      </w:r>
    </w:p>
    <w:tbl>
      <w:tblPr>
        <w:tblStyle w:val="11"/>
        <w:tblpPr w:leftFromText="180" w:rightFromText="180" w:vertAnchor="text" w:horzAnchor="margin" w:tblpXSpec="center" w:tblpY="136"/>
        <w:tblOverlap w:val="never"/>
        <w:tblW w:w="10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
      <w:tblGrid>
        <w:gridCol w:w="2307"/>
        <w:gridCol w:w="1417"/>
        <w:gridCol w:w="6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3674"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【土耳其热气球】</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250美金/人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费用说明：</w:t>
            </w:r>
            <w:r>
              <w:rPr>
                <w:rFonts w:hint="eastAsia" w:ascii="微软雅黑" w:hAnsi="微软雅黑" w:eastAsia="微软雅黑" w:cs="微软雅黑"/>
                <w:sz w:val="18"/>
                <w:szCs w:val="18"/>
              </w:rPr>
              <w:t>5人起订（价格已含保险费及热气球证书）</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当地预订：</w:t>
            </w:r>
            <w:r>
              <w:rPr>
                <w:rFonts w:hint="eastAsia" w:ascii="微软雅黑" w:hAnsi="微软雅黑" w:eastAsia="微软雅黑" w:cs="微软雅黑"/>
                <w:sz w:val="18"/>
                <w:szCs w:val="18"/>
              </w:rPr>
              <w:t>价格：250美金/人(美金现付，如名额不足无法安排，敬请理解)</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项目说明：</w:t>
            </w:r>
            <w:r>
              <w:rPr>
                <w:rFonts w:hint="eastAsia" w:ascii="微软雅黑" w:hAnsi="微软雅黑" w:eastAsia="微软雅黑" w:cs="微软雅黑"/>
                <w:b/>
                <w:bCs/>
                <w:sz w:val="18"/>
                <w:szCs w:val="18"/>
              </w:rPr>
              <w:br w:type="textWrapping"/>
            </w:r>
            <w:r>
              <w:rPr>
                <w:rFonts w:hint="eastAsia" w:ascii="微软雅黑" w:hAnsi="微软雅黑" w:eastAsia="微软雅黑" w:cs="微软雅黑"/>
                <w:sz w:val="18"/>
                <w:szCs w:val="18"/>
              </w:rPr>
              <w:t>1. 土耳其众多公司经营热气球项目，质量良莠不齐，售卖价格波动较大。热气球      属于有一定危险的项目，我司只选用当地运营时间长，质量可靠保障的公司，并包含保险费用。</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2.整个热气球行程大约2个小时（其中飞行时间约1小时）。</w:t>
            </w:r>
            <w:r>
              <w:rPr>
                <w:rFonts w:hint="eastAsia" w:ascii="微软雅黑" w:hAnsi="微软雅黑" w:eastAsia="微软雅黑" w:cs="微软雅黑"/>
                <w:sz w:val="18"/>
                <w:szCs w:val="18"/>
              </w:rPr>
              <w:br w:type="textWrapping"/>
            </w:r>
            <w:r>
              <w:rPr>
                <w:rFonts w:hint="eastAsia" w:ascii="微软雅黑" w:hAnsi="微软雅黑" w:eastAsia="微软雅黑" w:cs="微软雅黑"/>
                <w:sz w:val="18"/>
                <w:szCs w:val="18"/>
              </w:rPr>
              <w:t>3. 热气球公司规定5岁以下儿童不宜参加该项目；请客人务必根据自身情况选择是否参加该项目，如有恐高、心脏病等症状不适宜参加热气球项目。</w:t>
            </w:r>
            <w:r>
              <w:rPr>
                <w:rFonts w:hint="eastAsia" w:ascii="微软雅黑" w:hAnsi="微软雅黑" w:eastAsia="微软雅黑" w:cs="微软雅黑"/>
                <w:sz w:val="18"/>
                <w:szCs w:val="18"/>
              </w:rPr>
              <w:br w:type="textWrapping"/>
            </w:r>
            <w:r>
              <w:rPr>
                <w:rFonts w:hint="eastAsia" w:ascii="微软雅黑" w:hAnsi="微软雅黑" w:eastAsia="微软雅黑" w:cs="微软雅黑"/>
                <w:sz w:val="18"/>
                <w:szCs w:val="18"/>
              </w:rPr>
              <w:t>4. 该项目由热气球公司统一安排接送及飞行安排，中文导游不陪同。</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注意事项</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rPr>
              <w:br w:type="textWrapping"/>
            </w:r>
            <w:r>
              <w:rPr>
                <w:rFonts w:hint="eastAsia" w:ascii="微软雅黑" w:hAnsi="微软雅黑" w:eastAsia="微软雅黑" w:cs="微软雅黑"/>
                <w:sz w:val="18"/>
                <w:szCs w:val="18"/>
              </w:rPr>
              <w:t>5. 热气球公司取消：热气球项目全年均有，如遇恶劣天气、热气球质量欠佳等突发事件，热气球公司将以保证客人安全为原则取消该项目。如遇热气球公司取消飞行安排，热气球费用全退。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【土耳其肚皮舞表演】</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75美金/人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w:t>
            </w:r>
            <w:r>
              <w:rPr>
                <w:rFonts w:hint="eastAsia" w:ascii="微软雅黑" w:hAnsi="微软雅黑" w:eastAsia="微软雅黑" w:cs="微软雅黑"/>
                <w:sz w:val="18"/>
                <w:szCs w:val="18"/>
              </w:rPr>
              <w:t>75美金/人</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费用包含：</w:t>
            </w:r>
            <w:r>
              <w:rPr>
                <w:rFonts w:hint="eastAsia" w:ascii="微软雅黑" w:hAnsi="微软雅黑" w:eastAsia="微软雅黑" w:cs="微软雅黑"/>
                <w:sz w:val="18"/>
                <w:szCs w:val="18"/>
              </w:rPr>
              <w:t>肚皮舞表演、饮料1杯、往返接送。</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特别说明：</w:t>
            </w:r>
            <w:r>
              <w:rPr>
                <w:rFonts w:hint="eastAsia" w:ascii="微软雅黑" w:hAnsi="微软雅黑" w:eastAsia="微软雅黑" w:cs="微软雅黑"/>
                <w:sz w:val="18"/>
                <w:szCs w:val="18"/>
              </w:rPr>
              <w:t>1.成人与儿童同价；</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2.该项目至少提前一天预订，5人起订。</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3.表演时间一般为晚8点-10点。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766"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【土耳其浴】</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70美金/人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w:t>
            </w:r>
            <w:r>
              <w:rPr>
                <w:rFonts w:hint="eastAsia" w:ascii="微软雅黑" w:hAnsi="微软雅黑" w:eastAsia="微软雅黑" w:cs="微软雅黑"/>
                <w:sz w:val="18"/>
                <w:szCs w:val="18"/>
              </w:rPr>
              <w:t>70美金/人</w:t>
            </w:r>
            <w:r>
              <w:rPr>
                <w:rFonts w:hint="eastAsia" w:ascii="微软雅黑" w:hAnsi="微软雅黑" w:eastAsia="微软雅黑" w:cs="微软雅黑"/>
                <w:sz w:val="18"/>
                <w:szCs w:val="18"/>
              </w:rPr>
              <w:br w:type="textWrapping"/>
            </w:r>
            <w:r>
              <w:rPr>
                <w:rFonts w:hint="eastAsia" w:ascii="微软雅黑" w:hAnsi="微软雅黑" w:eastAsia="微软雅黑" w:cs="微软雅黑"/>
                <w:b/>
                <w:bCs/>
                <w:sz w:val="18"/>
                <w:szCs w:val="18"/>
              </w:rPr>
              <w:t>特别说明</w:t>
            </w:r>
            <w:r>
              <w:rPr>
                <w:rFonts w:hint="eastAsia" w:ascii="微软雅黑" w:hAnsi="微软雅黑" w:eastAsia="微软雅黑" w:cs="微软雅黑"/>
                <w:sz w:val="18"/>
                <w:szCs w:val="18"/>
              </w:rPr>
              <w:t>：1.成人与儿童同价；</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2.该项目至少提前一天预订，5人起订。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【伊斯坦布尔一天套餐】</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175美金/人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b/>
                <w:bCs/>
                <w:sz w:val="18"/>
                <w:szCs w:val="18"/>
              </w:rPr>
            </w:pPr>
            <w:r>
              <w:rPr>
                <w:rFonts w:hint="eastAsia" w:ascii="微软雅黑" w:hAnsi="微软雅黑" w:eastAsia="微软雅黑" w:cs="微软雅黑"/>
                <w:b/>
                <w:bCs/>
                <w:sz w:val="18"/>
                <w:szCs w:val="18"/>
              </w:rPr>
              <w:t xml:space="preserve">伊斯坦布尔一日游 </w:t>
            </w:r>
          </w:p>
          <w:p>
            <w:pPr>
              <w:spacing w:line="240" w:lineRule="exact"/>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圣索菲亚大教堂入内+博斯普鲁斯海峡游船欣赏亚洲和欧洲两岸不同的风景+烤肉午餐+金角湾观光+洛蒂山+咖啡馆+多玛巴赫切新皇宫（外观）+塔克西姆广场+商业步行街观光。</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费用包含：</w:t>
            </w:r>
            <w:r>
              <w:rPr>
                <w:rFonts w:hint="eastAsia" w:ascii="微软雅黑" w:hAnsi="微软雅黑" w:eastAsia="微软雅黑" w:cs="微软雅黑"/>
                <w:sz w:val="18"/>
                <w:szCs w:val="18"/>
              </w:rPr>
              <w:t>门票、船票；车费，司机导游工资以及服务费，午餐费用。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伊斯坦布尔半日游</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125美金/人</w:t>
            </w:r>
          </w:p>
        </w:tc>
        <w:tc>
          <w:tcPr>
            <w:tcW w:w="6633" w:type="dxa"/>
            <w:tcMar>
              <w:top w:w="0" w:type="dxa"/>
              <w:left w:w="180" w:type="dxa"/>
              <w:bottom w:w="0" w:type="dxa"/>
              <w:right w:w="180" w:type="dxa"/>
            </w:tcMar>
            <w:vAlign w:val="center"/>
          </w:tcPr>
          <w:p>
            <w:pPr>
              <w:spacing w:line="240" w:lineRule="exact"/>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圣索菲亚大教堂（入内）+ 博斯普鲁斯海峡游船欣赏亚洲和欧洲两岸不同的风景+当地烤肉午餐+塔克西姆广场观光                                                                                            ST. SOPHIA + BOSPHORUS BOAT TOUR +  KEBAB MEAL+TAKSIM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博斯普鲁斯海峡游船（7人起订 ）</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60美金/人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博斯普鲁斯海峡游船欣赏亚洲和欧洲两岸不同的风景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库萨达斯游船</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60美金/人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乘船出海欣赏爱琴海风光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【卡帕多起亚 SPA】</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95美金/人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w:t>
            </w:r>
            <w:r>
              <w:rPr>
                <w:rFonts w:hint="eastAsia" w:ascii="微软雅黑" w:hAnsi="微软雅黑" w:eastAsia="微软雅黑" w:cs="微软雅黑"/>
                <w:sz w:val="18"/>
                <w:szCs w:val="18"/>
              </w:rPr>
              <w:t>95美金/人</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一家高档洞穴Spa会馆，集温泉浴、泥浴、鱼疗为一体，另外还提供豪华休息室，客人可以享用卡帕当地特色苹果茶红酒等。</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特别说明：</w:t>
            </w:r>
            <w:r>
              <w:rPr>
                <w:rFonts w:hint="eastAsia" w:ascii="微软雅黑" w:hAnsi="微软雅黑" w:eastAsia="微软雅黑" w:cs="微软雅黑"/>
                <w:sz w:val="18"/>
                <w:szCs w:val="18"/>
              </w:rPr>
              <w:t>1.成人与儿童同价；</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2.时间在1个半小时之内</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3.请客人自带泳衣！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【卡帕吉普车】</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85美金/人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w:t>
            </w:r>
            <w:r>
              <w:rPr>
                <w:rFonts w:hint="eastAsia" w:ascii="微软雅黑" w:hAnsi="微软雅黑" w:eastAsia="微软雅黑" w:cs="微软雅黑"/>
                <w:sz w:val="18"/>
                <w:szCs w:val="18"/>
              </w:rPr>
              <w:t>80美金/人</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开着越野车探索卡帕多奇亚是非常令人兴奋的事情。吉普车让您可以畅享山谷、教堂和文化美景；我们会带您去人烟罕至的地方，让您远离喧嚣，看尽青山绿水，感受越野旅游带来的兴奋。</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特别说明：</w:t>
            </w:r>
            <w:r>
              <w:rPr>
                <w:rFonts w:hint="eastAsia" w:ascii="微软雅黑" w:hAnsi="微软雅黑" w:eastAsia="微软雅黑" w:cs="微软雅黑"/>
                <w:sz w:val="18"/>
                <w:szCs w:val="18"/>
              </w:rPr>
              <w:t>1.4人一辆车；</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 xml:space="preserve">          2.时间在1个半小时之内</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注意事项:</w:t>
            </w:r>
            <w:r>
              <w:rPr>
                <w:rFonts w:hint="eastAsia" w:ascii="微软雅黑" w:hAnsi="微软雅黑" w:eastAsia="微软雅黑" w:cs="微软雅黑"/>
                <w:sz w:val="18"/>
                <w:szCs w:val="18"/>
              </w:rPr>
              <w:t>1此项目为刺激性项目。吉普车行驶过程中较为颠簸，存在一定风险性，老弱妇孺及病患请慎重参加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帕姆卡莱滑翔伞</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150美金/人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费用：</w:t>
            </w:r>
            <w:r>
              <w:rPr>
                <w:rFonts w:hint="eastAsia" w:ascii="微软雅黑" w:hAnsi="微软雅黑" w:eastAsia="微软雅黑" w:cs="微软雅黑"/>
                <w:sz w:val="18"/>
                <w:szCs w:val="18"/>
              </w:rPr>
              <w:t>150美金</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b/>
                <w:bCs/>
                <w:sz w:val="18"/>
                <w:szCs w:val="18"/>
              </w:rPr>
              <w:t>特别说明</w:t>
            </w:r>
            <w:r>
              <w:rPr>
                <w:rFonts w:hint="eastAsia" w:ascii="微软雅黑" w:hAnsi="微软雅黑" w:eastAsia="微软雅黑" w:cs="微软雅黑"/>
                <w:sz w:val="18"/>
                <w:szCs w:val="18"/>
              </w:rPr>
              <w:t>：450米左右高度，根据天气情况滑翔5-15分钟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5" w:type="dxa"/>
            <w:bottom w:w="0" w:type="dxa"/>
            <w:right w:w="15" w:type="dxa"/>
          </w:tblCellMar>
        </w:tblPrEx>
        <w:trPr>
          <w:trHeight w:val="981" w:hRule="atLeast"/>
        </w:trPr>
        <w:tc>
          <w:tcPr>
            <w:tcW w:w="2307" w:type="dxa"/>
            <w:tcMar>
              <w:top w:w="0" w:type="dxa"/>
              <w:left w:w="180" w:type="dxa"/>
              <w:bottom w:w="0" w:type="dxa"/>
              <w:right w:w="180" w:type="dxa"/>
            </w:tcMar>
            <w:vAlign w:val="center"/>
          </w:tcPr>
          <w:p>
            <w:pPr>
              <w:spacing w:line="240" w:lineRule="exact"/>
              <w:jc w:val="center"/>
              <w:rPr>
                <w:rFonts w:ascii="微软雅黑" w:hAnsi="微软雅黑" w:eastAsia="微软雅黑" w:cs="微软雅黑"/>
                <w:sz w:val="18"/>
                <w:szCs w:val="18"/>
              </w:rPr>
            </w:pPr>
            <w:r>
              <w:rPr>
                <w:rFonts w:hint="eastAsia" w:ascii="微软雅黑" w:hAnsi="微软雅黑" w:eastAsia="微软雅黑" w:cs="微软雅黑"/>
                <w:sz w:val="18"/>
                <w:szCs w:val="18"/>
              </w:rPr>
              <w:t>策尔维山谷灯光秀</w:t>
            </w:r>
          </w:p>
        </w:tc>
        <w:tc>
          <w:tcPr>
            <w:tcW w:w="1417"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70美金/人</w:t>
            </w:r>
          </w:p>
        </w:tc>
        <w:tc>
          <w:tcPr>
            <w:tcW w:w="6633" w:type="dxa"/>
            <w:tcMar>
              <w:top w:w="0" w:type="dxa"/>
              <w:left w:w="180" w:type="dxa"/>
              <w:bottom w:w="0" w:type="dxa"/>
              <w:right w:w="180" w:type="dxa"/>
            </w:tcMar>
            <w:vAlign w:val="center"/>
          </w:tcPr>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节目从日落时开始。影片伴随着沁入心扉的音乐，融入卡帕多西亚的独特环境，给您流连忘返的30分钟体验。</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调动起你的听觉和视觉来感受曾经的安纳托利亚之地，从最开始的地理地貌形成，到后来渐渐趣味横生的人类种族的起源，可以看到按照纪年顺序展示的早期人类的居住环境，亚述人，赫梯人，波斯人，亚历山大文明，还包括当时的社会文化关系等。</w:t>
            </w:r>
          </w:p>
          <w:p>
            <w:pPr>
              <w:spacing w:line="240" w:lineRule="exact"/>
              <w:rPr>
                <w:rFonts w:ascii="微软雅黑" w:hAnsi="微软雅黑" w:eastAsia="微软雅黑" w:cs="微软雅黑"/>
                <w:sz w:val="18"/>
                <w:szCs w:val="18"/>
              </w:rPr>
            </w:pPr>
            <w:r>
              <w:rPr>
                <w:rFonts w:hint="eastAsia" w:ascii="微软雅黑" w:hAnsi="微软雅黑" w:eastAsia="微软雅黑" w:cs="微软雅黑"/>
                <w:sz w:val="18"/>
                <w:szCs w:val="18"/>
              </w:rPr>
              <w:t>接下来还可以看到热情的基督教徒居民，修道院生活，十字军东征，地下城，塞尔柱王朝和奥斯曼帝国各自的印迹，最后可以见证现代共和国和卡帕多西亚地区的发展。</w:t>
            </w:r>
          </w:p>
          <w:p>
            <w:pPr>
              <w:spacing w:line="240" w:lineRule="exact"/>
              <w:rPr>
                <w:rFonts w:ascii="微软雅黑" w:hAnsi="微软雅黑" w:eastAsia="微软雅黑" w:cs="微软雅黑"/>
                <w:sz w:val="18"/>
                <w:szCs w:val="18"/>
              </w:rPr>
            </w:pPr>
          </w:p>
        </w:tc>
      </w:tr>
    </w:tbl>
    <w:p>
      <w:pPr>
        <w:shd w:val="solid" w:color="FFFFFF" w:fill="auto"/>
        <w:autoSpaceDN w:val="0"/>
        <w:spacing w:after="75" w:line="240" w:lineRule="exact"/>
        <w:jc w:val="center"/>
        <w:rPr>
          <w:rFonts w:ascii="宋体" w:hAnsi="宋体"/>
          <w:b/>
          <w:color w:val="FF0000"/>
          <w:sz w:val="18"/>
          <w:szCs w:val="18"/>
          <w:shd w:val="clear" w:color="auto" w:fill="FFFFFF"/>
        </w:rPr>
      </w:pPr>
    </w:p>
    <w:p>
      <w:pPr>
        <w:shd w:val="solid" w:color="FFFFFF" w:fill="auto"/>
        <w:autoSpaceDN w:val="0"/>
        <w:spacing w:after="75" w:line="240" w:lineRule="exact"/>
        <w:jc w:val="center"/>
        <w:rPr>
          <w:rFonts w:ascii="宋体"/>
          <w:b/>
          <w:color w:val="FF0000"/>
          <w:sz w:val="18"/>
          <w:szCs w:val="18"/>
          <w:shd w:val="clear" w:color="auto" w:fill="FFFFFF"/>
        </w:rPr>
      </w:pPr>
    </w:p>
    <w:p>
      <w:pPr>
        <w:rPr>
          <w:rFonts w:ascii="宋体" w:cs="Arial"/>
          <w:b/>
          <w:bCs/>
          <w:sz w:val="18"/>
          <w:szCs w:val="18"/>
        </w:rPr>
      </w:pPr>
    </w:p>
    <w:p>
      <w:pPr>
        <w:rPr>
          <w:rFonts w:ascii="宋体" w:cs="Arial"/>
          <w:b/>
          <w:bCs/>
          <w:sz w:val="18"/>
          <w:szCs w:val="18"/>
        </w:rPr>
      </w:pPr>
      <w:r>
        <w:rPr>
          <w:rFonts w:hint="eastAsia" w:ascii="宋体" w:hAnsi="宋体" w:cs="Arial"/>
          <w:b/>
          <w:bCs/>
          <w:sz w:val="18"/>
          <w:szCs w:val="18"/>
        </w:rPr>
        <w:t>温馨提示：</w:t>
      </w:r>
    </w:p>
    <w:p>
      <w:pPr>
        <w:numPr>
          <w:ilvl w:val="0"/>
          <w:numId w:val="9"/>
        </w:numPr>
        <w:tabs>
          <w:tab w:val="left" w:pos="426"/>
        </w:tabs>
        <w:ind w:left="364" w:hanging="363" w:hangingChars="202"/>
        <w:rPr>
          <w:rFonts w:ascii="宋体" w:cs="Arial"/>
          <w:sz w:val="18"/>
          <w:szCs w:val="18"/>
        </w:rPr>
      </w:pPr>
      <w:r>
        <w:rPr>
          <w:rFonts w:hint="eastAsia" w:ascii="宋体" w:hAnsi="宋体" w:cs="Arial"/>
          <w:bCs/>
          <w:sz w:val="18"/>
          <w:szCs w:val="18"/>
          <w:lang w:val="zh-CN"/>
        </w:rPr>
        <w:t>当您从境外离境时，一定检查海关是否给您的护照</w:t>
      </w:r>
      <w:r>
        <w:rPr>
          <w:rFonts w:hint="eastAsia" w:ascii="宋体" w:hAnsi="宋体" w:cs="Arial"/>
          <w:sz w:val="18"/>
          <w:szCs w:val="18"/>
        </w:rPr>
        <w:t>盖了清晰的离境</w:t>
      </w:r>
      <w:r>
        <w:rPr>
          <w:rFonts w:hint="eastAsia" w:ascii="宋体" w:hAnsi="宋体" w:cs="Arial"/>
          <w:bCs/>
          <w:sz w:val="18"/>
          <w:szCs w:val="18"/>
          <w:lang w:val="zh-CN"/>
        </w:rPr>
        <w:t>章，它是您已经回到中国的唯一凭证。</w:t>
      </w:r>
      <w:r>
        <w:rPr>
          <w:rFonts w:hint="eastAsia" w:ascii="宋体" w:hAnsi="宋体"/>
          <w:sz w:val="18"/>
          <w:szCs w:val="18"/>
        </w:rPr>
        <w:t>由此造成不必要的损失，非常抱歉只能由本人承担！</w:t>
      </w:r>
      <w:r>
        <w:rPr>
          <w:rFonts w:hint="eastAsia" w:ascii="宋体" w:hAnsi="宋体" w:cs="Arial"/>
          <w:bCs/>
          <w:sz w:val="18"/>
          <w:szCs w:val="18"/>
          <w:lang w:val="zh-CN"/>
        </w:rPr>
        <w:t>请您自己务必仔细留意；</w:t>
      </w:r>
    </w:p>
    <w:p>
      <w:pPr>
        <w:numPr>
          <w:ilvl w:val="0"/>
          <w:numId w:val="9"/>
        </w:numPr>
        <w:tabs>
          <w:tab w:val="left" w:pos="426"/>
        </w:tabs>
        <w:ind w:left="364" w:hanging="363" w:hangingChars="202"/>
        <w:rPr>
          <w:rFonts w:ascii="宋体" w:cs="Arial"/>
          <w:sz w:val="18"/>
          <w:szCs w:val="18"/>
        </w:rPr>
      </w:pPr>
      <w:r>
        <w:rPr>
          <w:rFonts w:hint="eastAsia" w:ascii="宋体" w:hAnsi="宋体" w:cs="Arial"/>
          <w:sz w:val="18"/>
          <w:szCs w:val="18"/>
        </w:rPr>
        <w:t>行程中所列航班号及时间仅供参考，将根据实际情况做出合理的调整；</w:t>
      </w:r>
    </w:p>
    <w:p>
      <w:pPr>
        <w:numPr>
          <w:ilvl w:val="0"/>
          <w:numId w:val="9"/>
        </w:numPr>
        <w:tabs>
          <w:tab w:val="left" w:pos="426"/>
        </w:tabs>
        <w:ind w:left="364" w:hanging="363" w:hangingChars="202"/>
        <w:rPr>
          <w:rFonts w:ascii="宋体" w:cs="Arial"/>
          <w:sz w:val="18"/>
          <w:szCs w:val="18"/>
        </w:rPr>
      </w:pPr>
      <w:r>
        <w:rPr>
          <w:rFonts w:hint="eastAsia" w:ascii="宋体" w:hAnsi="宋体" w:cs="Arial"/>
          <w:sz w:val="18"/>
          <w:szCs w:val="18"/>
        </w:rPr>
        <w:t>非洲中东同北京时间时差：六小时（个别国家不同地区也会有时差，均以当地到达时间为准）；</w:t>
      </w:r>
    </w:p>
    <w:p>
      <w:pPr>
        <w:numPr>
          <w:ilvl w:val="0"/>
          <w:numId w:val="9"/>
        </w:numPr>
        <w:tabs>
          <w:tab w:val="left" w:pos="426"/>
        </w:tabs>
        <w:ind w:left="364" w:hanging="363" w:hangingChars="202"/>
        <w:rPr>
          <w:rFonts w:ascii="宋体" w:cs="Arial"/>
          <w:sz w:val="18"/>
          <w:szCs w:val="18"/>
        </w:rPr>
      </w:pPr>
      <w:r>
        <w:rPr>
          <w:rFonts w:hint="eastAsia" w:ascii="宋体" w:hAnsi="宋体" w:cs="Arial"/>
          <w:sz w:val="18"/>
          <w:szCs w:val="18"/>
        </w:rPr>
        <w:t>行程中所注明的城市间距离，参照境外地图，仅供参考，视当地交通状况进行调整；</w:t>
      </w:r>
    </w:p>
    <w:p>
      <w:pPr>
        <w:numPr>
          <w:ilvl w:val="0"/>
          <w:numId w:val="9"/>
        </w:numPr>
        <w:tabs>
          <w:tab w:val="left" w:pos="426"/>
        </w:tabs>
        <w:ind w:left="364" w:hanging="363" w:hangingChars="202"/>
        <w:rPr>
          <w:rFonts w:ascii="宋体"/>
          <w:sz w:val="18"/>
          <w:szCs w:val="18"/>
        </w:rPr>
      </w:pPr>
      <w:r>
        <w:rPr>
          <w:rFonts w:hint="eastAsia" w:ascii="宋体" w:hAnsi="宋体" w:cs="Arial"/>
          <w:sz w:val="18"/>
          <w:szCs w:val="18"/>
        </w:rPr>
        <w:t>根据国际惯例，导游和司机每天工作时间不得超过</w:t>
      </w:r>
      <w:r>
        <w:rPr>
          <w:rFonts w:ascii="宋体" w:hAnsi="宋体" w:cs="Arial"/>
          <w:sz w:val="18"/>
          <w:szCs w:val="18"/>
        </w:rPr>
        <w:t>10</w:t>
      </w:r>
      <w:r>
        <w:rPr>
          <w:rFonts w:hint="eastAsia" w:ascii="宋体" w:hAnsi="宋体" w:cs="Arial"/>
          <w:sz w:val="18"/>
          <w:szCs w:val="18"/>
        </w:rPr>
        <w:t>小时；（如超出服务时间，则应付给司机和导游相应的加班费）；</w:t>
      </w:r>
    </w:p>
    <w:p>
      <w:pPr>
        <w:numPr>
          <w:ilvl w:val="0"/>
          <w:numId w:val="9"/>
        </w:numPr>
        <w:tabs>
          <w:tab w:val="left" w:pos="426"/>
        </w:tabs>
        <w:ind w:left="364" w:hanging="363" w:hangingChars="202"/>
        <w:rPr>
          <w:rFonts w:ascii="宋体"/>
          <w:sz w:val="18"/>
          <w:szCs w:val="18"/>
        </w:rPr>
      </w:pPr>
      <w:r>
        <w:rPr>
          <w:rFonts w:hint="eastAsia" w:ascii="宋体" w:hAnsi="宋体" w:cs="Arial"/>
          <w:sz w:val="18"/>
          <w:szCs w:val="18"/>
        </w:rPr>
        <w:drawing>
          <wp:anchor distT="0" distB="0" distL="114300" distR="114300" simplePos="0" relativeHeight="251725824" behindDoc="1" locked="0" layoutInCell="1" allowOverlap="1">
            <wp:simplePos x="0" y="0"/>
            <wp:positionH relativeFrom="column">
              <wp:posOffset>7734300</wp:posOffset>
            </wp:positionH>
            <wp:positionV relativeFrom="paragraph">
              <wp:posOffset>69850</wp:posOffset>
            </wp:positionV>
            <wp:extent cx="7572375" cy="10706100"/>
            <wp:effectExtent l="0" t="0" r="9525" b="0"/>
            <wp:wrapNone/>
            <wp:docPr id="3"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pic:cNvPicPr>
                      <a:picLocks noChangeAspect="1"/>
                    </pic:cNvPicPr>
                  </pic:nvPicPr>
                  <pic:blipFill>
                    <a:blip r:embed="rId13" cstate="print"/>
                    <a:stretch>
                      <a:fillRect/>
                    </a:stretch>
                  </pic:blipFill>
                  <pic:spPr>
                    <a:xfrm>
                      <a:off x="0" y="0"/>
                      <a:ext cx="7572375" cy="10706100"/>
                    </a:xfrm>
                    <a:prstGeom prst="rect">
                      <a:avLst/>
                    </a:prstGeom>
                    <a:noFill/>
                    <a:ln w="9525">
                      <a:noFill/>
                      <a:miter/>
                    </a:ln>
                  </pic:spPr>
                </pic:pic>
              </a:graphicData>
            </a:graphic>
          </wp:anchor>
        </w:drawing>
      </w:r>
      <w:r>
        <w:rPr>
          <w:rFonts w:hint="eastAsia" w:ascii="宋体" w:hAnsi="宋体" w:cs="Arial"/>
          <w:sz w:val="18"/>
          <w:szCs w:val="18"/>
        </w:rPr>
        <w:t>请您在境外期间遵守当地的法律法规，以及注意自己的人身安全；</w:t>
      </w:r>
    </w:p>
    <w:p>
      <w:pPr>
        <w:numPr>
          <w:ilvl w:val="0"/>
          <w:numId w:val="9"/>
        </w:numPr>
        <w:tabs>
          <w:tab w:val="left" w:pos="426"/>
        </w:tabs>
        <w:ind w:left="364" w:hanging="363" w:hangingChars="202"/>
        <w:rPr>
          <w:rFonts w:ascii="宋体"/>
          <w:sz w:val="18"/>
          <w:szCs w:val="18"/>
        </w:rPr>
      </w:pPr>
      <w:r>
        <w:rPr>
          <w:rFonts w:hint="eastAsia" w:ascii="宋体" w:hAnsi="宋体" w:cs="Arial"/>
          <w:sz w:val="18"/>
          <w:szCs w:val="18"/>
        </w:rPr>
        <w:t>此参考行程和旅游费用，我公司将根据参团人数、航班、签证及目的地国临时变化保留调整的权利；</w:t>
      </w:r>
    </w:p>
    <w:p>
      <w:pPr>
        <w:numPr>
          <w:ilvl w:val="0"/>
          <w:numId w:val="9"/>
        </w:numPr>
        <w:tabs>
          <w:tab w:val="left" w:pos="426"/>
        </w:tabs>
        <w:ind w:left="364" w:hanging="363" w:hangingChars="202"/>
        <w:rPr>
          <w:rFonts w:ascii="宋体" w:cs="Arial"/>
          <w:sz w:val="18"/>
          <w:szCs w:val="18"/>
        </w:rPr>
      </w:pPr>
      <w:r>
        <w:rPr>
          <w:rFonts w:hint="eastAsia" w:ascii="宋体" w:hAnsi="宋体" w:cs="Arial"/>
          <w:sz w:val="18"/>
          <w:szCs w:val="18"/>
        </w:rPr>
        <w:t>由于非洲国家国情所致，当地旅游车多为改装车辆，年限较旧且空调制冷差，舒适度远不如发达国家，请见谅！</w:t>
      </w:r>
    </w:p>
    <w:p>
      <w:pPr>
        <w:numPr>
          <w:ilvl w:val="0"/>
          <w:numId w:val="9"/>
        </w:numPr>
        <w:tabs>
          <w:tab w:val="left" w:pos="426"/>
        </w:tabs>
        <w:ind w:left="364" w:hanging="363" w:hangingChars="202"/>
        <w:rPr>
          <w:rFonts w:ascii="宋体" w:cs="Arial"/>
          <w:sz w:val="18"/>
          <w:szCs w:val="18"/>
        </w:rPr>
      </w:pPr>
      <w:r>
        <w:rPr>
          <w:rFonts w:hint="eastAsia" w:ascii="宋体" w:hAnsi="宋体"/>
          <w:sz w:val="18"/>
          <w:szCs w:val="18"/>
        </w:rPr>
        <w:t>境外酒店内禁止吸烟（包括阳台）。如违反罚款由客人自行承担。</w:t>
      </w:r>
    </w:p>
    <w:p>
      <w:pPr>
        <w:numPr>
          <w:ilvl w:val="0"/>
          <w:numId w:val="9"/>
        </w:numPr>
        <w:tabs>
          <w:tab w:val="left" w:pos="426"/>
        </w:tabs>
        <w:ind w:left="364" w:hanging="363" w:hangingChars="202"/>
        <w:rPr>
          <w:rFonts w:ascii="宋体" w:cs="Arial"/>
          <w:sz w:val="18"/>
          <w:szCs w:val="18"/>
        </w:rPr>
      </w:pPr>
      <w:r>
        <w:rPr>
          <w:rFonts w:hint="eastAsia" w:ascii="宋体" w:hAnsi="宋体"/>
          <w:sz w:val="18"/>
          <w:szCs w:val="18"/>
        </w:rPr>
        <w:t>依照旅游业现行作业规定，本公司有权依据最终出团人数情况，调整房间分房情况。</w:t>
      </w:r>
    </w:p>
    <w:p>
      <w:pPr>
        <w:numPr>
          <w:ilvl w:val="0"/>
          <w:numId w:val="9"/>
        </w:numPr>
        <w:tabs>
          <w:tab w:val="left" w:pos="426"/>
        </w:tabs>
        <w:ind w:left="364" w:hanging="363" w:hangingChars="202"/>
        <w:rPr>
          <w:rFonts w:ascii="宋体" w:cs="Arial"/>
          <w:sz w:val="18"/>
          <w:szCs w:val="18"/>
        </w:rPr>
      </w:pPr>
      <w:r>
        <w:rPr>
          <w:rFonts w:hint="eastAsia" w:ascii="宋体" w:hAnsi="宋体"/>
          <w:sz w:val="18"/>
          <w:szCs w:val="18"/>
        </w:rPr>
        <w:t>全程机票为团队票，任意一段放弃，后续段将自动取消。不退还任何费用。</w:t>
      </w:r>
    </w:p>
    <w:p>
      <w:pPr>
        <w:ind w:firstLine="360" w:firstLineChars="200"/>
        <w:rPr>
          <w:rFonts w:ascii="宋体"/>
          <w:sz w:val="18"/>
          <w:szCs w:val="18"/>
        </w:rPr>
      </w:pPr>
      <w:r>
        <w:rPr>
          <w:rFonts w:hint="eastAsia" w:ascii="宋体" w:hAnsi="宋体"/>
          <w:sz w:val="18"/>
          <w:szCs w:val="18"/>
        </w:rPr>
        <w:t>全程任意一段机票均不可退、改、签。全程任意一段机票都无法提前确认座位</w:t>
      </w:r>
    </w:p>
    <w:p>
      <w:pPr>
        <w:pStyle w:val="16"/>
        <w:widowControl w:val="0"/>
        <w:numPr>
          <w:ilvl w:val="0"/>
          <w:numId w:val="9"/>
        </w:numPr>
        <w:tabs>
          <w:tab w:val="left" w:pos="426"/>
        </w:tabs>
        <w:spacing w:after="0" w:line="240" w:lineRule="auto"/>
        <w:ind w:left="426" w:hanging="426"/>
        <w:jc w:val="both"/>
        <w:rPr>
          <w:rFonts w:ascii="宋体"/>
          <w:sz w:val="18"/>
          <w:szCs w:val="18"/>
          <w:lang w:eastAsia="zh-CN"/>
        </w:rPr>
      </w:pPr>
      <w:r>
        <w:rPr>
          <w:rFonts w:hint="eastAsia" w:ascii="宋体" w:hAnsi="宋体"/>
          <w:sz w:val="18"/>
          <w:szCs w:val="18"/>
          <w:lang w:eastAsia="zh-CN"/>
        </w:rPr>
        <w:t>由于航空公司原因或不抗力导致航班临时出现调整，我社将不承担任何责任。</w:t>
      </w:r>
    </w:p>
    <w:p>
      <w:pPr>
        <w:pStyle w:val="16"/>
        <w:widowControl w:val="0"/>
        <w:numPr>
          <w:ilvl w:val="0"/>
          <w:numId w:val="9"/>
        </w:numPr>
        <w:tabs>
          <w:tab w:val="left" w:pos="426"/>
        </w:tabs>
        <w:spacing w:after="0" w:line="240" w:lineRule="auto"/>
        <w:ind w:left="426" w:hanging="426"/>
        <w:jc w:val="both"/>
        <w:rPr>
          <w:rFonts w:ascii="宋体" w:cs="Arial"/>
          <w:sz w:val="18"/>
          <w:szCs w:val="18"/>
          <w:lang w:eastAsia="zh-CN"/>
        </w:rPr>
      </w:pPr>
      <w:r>
        <w:rPr>
          <w:rFonts w:hint="eastAsia" w:ascii="宋体" w:hAnsi="宋体"/>
          <w:sz w:val="18"/>
          <w:szCs w:val="18"/>
          <w:lang w:eastAsia="zh-CN"/>
        </w:rPr>
        <w:t>行李在航空公司托运期间造成的损坏或遗失，我社不承担任何责任。我社可协助游客与航空公司进行交涉，但处理结果一律按照航空公司相关规定办理。</w:t>
      </w:r>
    </w:p>
    <w:p>
      <w:pPr>
        <w:pStyle w:val="16"/>
        <w:widowControl w:val="0"/>
        <w:numPr>
          <w:ilvl w:val="0"/>
          <w:numId w:val="9"/>
        </w:numPr>
        <w:tabs>
          <w:tab w:val="left" w:pos="426"/>
        </w:tabs>
        <w:spacing w:after="0" w:line="240" w:lineRule="auto"/>
        <w:ind w:left="426" w:hanging="426"/>
        <w:jc w:val="both"/>
        <w:rPr>
          <w:rFonts w:ascii="宋体" w:cs="Arial"/>
          <w:sz w:val="18"/>
          <w:szCs w:val="18"/>
          <w:lang w:eastAsia="zh-CN"/>
        </w:rPr>
      </w:pPr>
      <w:r>
        <w:rPr>
          <w:rFonts w:hint="eastAsia" w:ascii="宋体" w:hAnsi="宋体"/>
          <w:sz w:val="18"/>
          <w:szCs w:val="18"/>
          <w:lang w:eastAsia="zh-CN"/>
        </w:rPr>
        <w:t>出境时如有贵重物品请及时申报。（请咨询申报处何种物品需要申报）</w:t>
      </w:r>
    </w:p>
    <w:p>
      <w:pPr>
        <w:pStyle w:val="16"/>
        <w:widowControl w:val="0"/>
        <w:numPr>
          <w:ilvl w:val="0"/>
          <w:numId w:val="9"/>
        </w:numPr>
        <w:tabs>
          <w:tab w:val="left" w:pos="426"/>
        </w:tabs>
        <w:spacing w:after="0" w:line="240" w:lineRule="auto"/>
        <w:ind w:left="426" w:hanging="426"/>
        <w:jc w:val="both"/>
        <w:rPr>
          <w:rFonts w:ascii="宋体" w:cs="Arial"/>
          <w:sz w:val="18"/>
          <w:szCs w:val="18"/>
          <w:lang w:eastAsia="zh-CN"/>
        </w:rPr>
      </w:pPr>
      <w:r>
        <w:rPr>
          <w:rFonts w:hint="eastAsia" w:ascii="宋体" w:hAnsi="宋体"/>
          <w:sz w:val="18"/>
          <w:szCs w:val="18"/>
          <w:lang w:eastAsia="zh-CN"/>
        </w:rPr>
        <w:t>在境外购买物品请按相关规定及时申报，所产生的相应费用需自行承担。</w:t>
      </w:r>
    </w:p>
    <w:p>
      <w:pPr>
        <w:pStyle w:val="16"/>
        <w:widowControl w:val="0"/>
        <w:numPr>
          <w:ilvl w:val="0"/>
          <w:numId w:val="9"/>
        </w:numPr>
        <w:tabs>
          <w:tab w:val="left" w:pos="426"/>
        </w:tabs>
        <w:spacing w:after="0" w:line="240" w:lineRule="auto"/>
        <w:ind w:left="426" w:hanging="426"/>
        <w:jc w:val="both"/>
        <w:rPr>
          <w:rFonts w:ascii="宋体" w:cs="Arial"/>
          <w:sz w:val="18"/>
          <w:szCs w:val="18"/>
          <w:lang w:eastAsia="zh-CN"/>
        </w:rPr>
      </w:pPr>
      <w:r>
        <w:rPr>
          <w:rFonts w:hint="eastAsia" w:ascii="宋体" w:hAnsi="宋体"/>
          <w:sz w:val="18"/>
          <w:szCs w:val="18"/>
          <w:lang w:eastAsia="zh-CN"/>
        </w:rPr>
        <w:t>由于行程紧凑，旅途较疲劳，</w:t>
      </w:r>
      <w:r>
        <w:rPr>
          <w:rFonts w:ascii="宋体" w:hAnsi="宋体"/>
          <w:sz w:val="18"/>
          <w:szCs w:val="18"/>
          <w:lang w:eastAsia="zh-CN"/>
        </w:rPr>
        <w:t>65</w:t>
      </w:r>
      <w:r>
        <w:rPr>
          <w:rFonts w:hint="eastAsia" w:ascii="宋体" w:hAnsi="宋体"/>
          <w:sz w:val="18"/>
          <w:szCs w:val="18"/>
          <w:lang w:eastAsia="zh-CN"/>
        </w:rPr>
        <w:t>岁以上老人建议提供健康证明并自行增加高额保险。</w:t>
      </w:r>
    </w:p>
    <w:p>
      <w:pPr>
        <w:tabs>
          <w:tab w:val="left" w:pos="0"/>
          <w:tab w:val="left" w:pos="1740"/>
        </w:tabs>
        <w:rPr>
          <w:rFonts w:ascii="宋体" w:cs="Arial"/>
          <w:sz w:val="18"/>
          <w:szCs w:val="18"/>
        </w:rPr>
      </w:pPr>
      <w:r>
        <w:rPr>
          <w:rFonts w:hint="eastAsia" w:ascii="宋体" w:cs="Arial"/>
          <w:sz w:val="18"/>
          <w:szCs w:val="18"/>
        </w:rPr>
        <w:t>17.洞穴酒店并非真正意义在岩石上挖洞建造，而是建筑风格模仿洞穴，极具当地风格！卡帕多奇亚洞穴酒店均无星级评定，且房间数量有限，团队出行期间可能会分住不同的洞穴酒店（同级别）。洞穴酒店无空调，冬季有暖气供应，但是由于是酒店自行供暖，有时会相对温度较低，建议客人提前准备厚一点的衣服，敬请谅解！</w:t>
      </w:r>
    </w:p>
    <w:p>
      <w:pPr>
        <w:pStyle w:val="16"/>
        <w:widowControl w:val="0"/>
        <w:tabs>
          <w:tab w:val="left" w:pos="426"/>
          <w:tab w:val="left" w:pos="1740"/>
        </w:tabs>
        <w:spacing w:after="0" w:line="240" w:lineRule="auto"/>
        <w:ind w:left="0"/>
        <w:jc w:val="both"/>
        <w:rPr>
          <w:rFonts w:ascii="宋体"/>
          <w:sz w:val="18"/>
          <w:szCs w:val="18"/>
          <w:lang w:eastAsia="zh-CN"/>
        </w:rPr>
      </w:pPr>
      <w:r>
        <w:rPr>
          <w:rFonts w:hint="eastAsia" w:ascii="宋体" w:hAnsi="宋体"/>
          <w:sz w:val="18"/>
          <w:szCs w:val="18"/>
          <w:lang w:eastAsia="zh-CN"/>
        </w:rPr>
        <w:t>18.游客责任：</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1</w:t>
      </w:r>
      <w:r>
        <w:rPr>
          <w:rFonts w:hint="eastAsia" w:ascii="宋体" w:hAnsi="宋体"/>
          <w:sz w:val="18"/>
          <w:szCs w:val="18"/>
        </w:rPr>
        <w:t>）此团是集体活动，集体出发、集体返回，请遵守时间，任何人不得逾期或滞留不归；</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2</w:t>
      </w:r>
      <w:r>
        <w:rPr>
          <w:rFonts w:hint="eastAsia" w:ascii="宋体" w:hAnsi="宋体"/>
          <w:sz w:val="18"/>
          <w:szCs w:val="18"/>
        </w:rPr>
        <w:t>）参团旅客，所持护照均为自备因私护照，出入境如遇到因护照引起的问题而影响行程，由此引起的一切损失（包括团费），均由客人自负。</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3</w:t>
      </w:r>
      <w:r>
        <w:rPr>
          <w:rFonts w:hint="eastAsia" w:ascii="宋体" w:hAnsi="宋体"/>
          <w:sz w:val="18"/>
          <w:szCs w:val="18"/>
        </w:rPr>
        <w:t>）如客人不参加我公司的赠送项目，用餐、门票等费用不退。</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4</w:t>
      </w:r>
      <w:r>
        <w:rPr>
          <w:rFonts w:hint="eastAsia" w:ascii="宋体" w:hAnsi="宋体"/>
          <w:sz w:val="18"/>
          <w:szCs w:val="18"/>
        </w:rPr>
        <w:t>）旅游期间遇到特殊情况如交通，天气等旅行社认为不可控原因，本公司有权增减或更改某些行程和旅游项目；</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5</w:t>
      </w:r>
      <w:r>
        <w:rPr>
          <w:rFonts w:hint="eastAsia" w:ascii="宋体" w:hAnsi="宋体"/>
          <w:sz w:val="18"/>
          <w:szCs w:val="18"/>
        </w:rPr>
        <w:t>）由于不可抗拒的原因，如政变、罢工、水灾地震、交通意外等所引起的旅游天数和费用的增加，本公司将按实际情况向旅客予以收费。</w:t>
      </w:r>
    </w:p>
    <w:p>
      <w:pPr>
        <w:ind w:left="765" w:leftChars="150" w:hanging="450" w:hangingChars="250"/>
        <w:rPr>
          <w:rFonts w:ascii="宋体"/>
          <w:sz w:val="18"/>
          <w:szCs w:val="18"/>
        </w:rPr>
      </w:pPr>
      <w:r>
        <w:rPr>
          <w:rFonts w:hint="eastAsia" w:ascii="宋体" w:hAnsi="宋体"/>
          <w:sz w:val="18"/>
          <w:szCs w:val="18"/>
        </w:rPr>
        <w:t>（</w:t>
      </w:r>
      <w:r>
        <w:rPr>
          <w:rFonts w:ascii="宋体" w:hAnsi="宋体"/>
          <w:sz w:val="18"/>
          <w:szCs w:val="18"/>
        </w:rPr>
        <w:t>6</w:t>
      </w:r>
      <w:r>
        <w:rPr>
          <w:rFonts w:hint="eastAsia" w:ascii="宋体" w:hAnsi="宋体"/>
          <w:sz w:val="18"/>
          <w:szCs w:val="18"/>
        </w:rPr>
        <w:t>）请自备签证和境外参团的客人自行检查签证是否符合本行程的要求，若因自身原因不能按时参团，本社概不负责；</w:t>
      </w:r>
    </w:p>
    <w:p>
      <w:pPr>
        <w:ind w:firstLine="270" w:firstLineChars="150"/>
        <w:rPr>
          <w:rFonts w:ascii="宋体"/>
          <w:sz w:val="18"/>
          <w:szCs w:val="18"/>
        </w:rPr>
      </w:pPr>
      <w:r>
        <w:rPr>
          <w:rFonts w:hint="eastAsia" w:ascii="宋体" w:hAnsi="宋体"/>
          <w:sz w:val="18"/>
          <w:szCs w:val="18"/>
        </w:rPr>
        <w:t>（</w:t>
      </w:r>
      <w:r>
        <w:rPr>
          <w:rFonts w:ascii="宋体" w:hAnsi="宋体"/>
          <w:sz w:val="18"/>
          <w:szCs w:val="18"/>
        </w:rPr>
        <w:t>7</w:t>
      </w:r>
      <w:r>
        <w:rPr>
          <w:rFonts w:hint="eastAsia" w:ascii="宋体" w:hAnsi="宋体"/>
          <w:sz w:val="18"/>
          <w:szCs w:val="18"/>
        </w:rPr>
        <w:t>）所有由我社办理签证的客人回国后需将护照（部分团队还需提供返程登机牌）交于领队销签。</w:t>
      </w:r>
    </w:p>
    <w:p>
      <w:pPr>
        <w:rPr>
          <w:rFonts w:ascii="宋体" w:hAnsi="宋体"/>
          <w:b/>
          <w:sz w:val="18"/>
          <w:szCs w:val="18"/>
        </w:rPr>
      </w:pPr>
    </w:p>
    <w:p>
      <w:pPr>
        <w:rPr>
          <w:rFonts w:ascii="宋体"/>
          <w:b/>
          <w:sz w:val="18"/>
          <w:szCs w:val="18"/>
        </w:rPr>
      </w:pPr>
      <w:r>
        <w:rPr>
          <w:rFonts w:hint="eastAsia" w:ascii="宋体" w:hAnsi="宋体"/>
          <w:b/>
          <w:sz w:val="18"/>
          <w:szCs w:val="18"/>
        </w:rPr>
        <w:t>购物退税提示：</w:t>
      </w:r>
    </w:p>
    <w:p>
      <w:pPr>
        <w:rPr>
          <w:rFonts w:ascii="宋体"/>
          <w:sz w:val="18"/>
          <w:szCs w:val="18"/>
        </w:rPr>
      </w:pPr>
      <w:r>
        <w:rPr>
          <w:rFonts w:ascii="宋体" w:hAnsi="宋体"/>
          <w:sz w:val="18"/>
          <w:szCs w:val="18"/>
        </w:rPr>
        <w:t>1</w:t>
      </w:r>
      <w:r>
        <w:rPr>
          <w:rFonts w:hint="eastAsia" w:ascii="宋体" w:hAnsi="宋体"/>
          <w:sz w:val="18"/>
          <w:szCs w:val="18"/>
        </w:rPr>
        <w:t>、旅行社不指定具体购物场所，购物属于客人个人行为。</w:t>
      </w:r>
    </w:p>
    <w:p>
      <w:pPr>
        <w:ind w:left="243" w:hanging="243" w:hangingChars="135"/>
        <w:rPr>
          <w:rFonts w:ascii="宋体"/>
          <w:sz w:val="18"/>
          <w:szCs w:val="18"/>
        </w:rPr>
      </w:pPr>
      <w:r>
        <w:rPr>
          <w:rFonts w:ascii="宋体" w:hAnsi="宋体"/>
          <w:sz w:val="18"/>
          <w:szCs w:val="18"/>
        </w:rPr>
        <w:t>2</w:t>
      </w:r>
      <w:r>
        <w:rPr>
          <w:rFonts w:hint="eastAsia" w:ascii="宋体" w:hAnsi="宋体"/>
          <w:sz w:val="18"/>
          <w:szCs w:val="18"/>
        </w:rPr>
        <w:t>、旅行社建议客人：理性消费；在购物前详细询问所购商品是否可以给予退税；购买商品时仔细检查商品质量；注意保留消费凭证。</w:t>
      </w:r>
    </w:p>
    <w:p>
      <w:pPr>
        <w:ind w:left="243" w:hanging="243" w:hangingChars="135"/>
        <w:rPr>
          <w:rFonts w:ascii="宋体"/>
          <w:sz w:val="18"/>
          <w:szCs w:val="18"/>
        </w:rPr>
      </w:pPr>
      <w:r>
        <w:rPr>
          <w:rFonts w:ascii="宋体" w:hAnsi="宋体"/>
          <w:sz w:val="18"/>
          <w:szCs w:val="18"/>
        </w:rPr>
        <w:t>3</w:t>
      </w:r>
      <w:r>
        <w:rPr>
          <w:rFonts w:hint="eastAsia" w:ascii="宋体" w:hAnsi="宋体"/>
          <w:sz w:val="18"/>
          <w:szCs w:val="18"/>
        </w:rPr>
        <w:t>、如客人所购商品存在质量问题，无论是更换还是退还商品都会手续繁复。具体情况不一，能否实现更换或退还也要视具体情况而定。</w:t>
      </w:r>
    </w:p>
    <w:p>
      <w:pPr>
        <w:ind w:left="243" w:hanging="243" w:hangingChars="135"/>
        <w:rPr>
          <w:rFonts w:ascii="宋体"/>
          <w:sz w:val="18"/>
          <w:szCs w:val="18"/>
        </w:rPr>
      </w:pPr>
      <w:r>
        <w:rPr>
          <w:rFonts w:ascii="宋体" w:hAnsi="宋体"/>
          <w:sz w:val="18"/>
          <w:szCs w:val="18"/>
        </w:rPr>
        <w:t>4</w:t>
      </w:r>
      <w:r>
        <w:rPr>
          <w:rFonts w:hint="eastAsia" w:ascii="宋体" w:hAnsi="宋体"/>
          <w:sz w:val="18"/>
          <w:szCs w:val="18"/>
        </w:rPr>
        <w:t>、退税是非洲、中东部分国家对非本国游客在本国内购物的优惠政策，整个退税手续及流程均由非洲、中东国家控制，经常会出现退税不成功等问题，我们会负责协调处理，但无法承担任何赔偿。领队及导游会协助贵宾办理退税手续</w:t>
      </w:r>
      <w:r>
        <w:rPr>
          <w:rFonts w:ascii="宋体"/>
          <w:sz w:val="18"/>
          <w:szCs w:val="18"/>
        </w:rPr>
        <w:t>,</w:t>
      </w:r>
      <w:r>
        <w:rPr>
          <w:rFonts w:hint="eastAsia" w:ascii="宋体" w:hAnsi="宋体"/>
          <w:sz w:val="18"/>
          <w:szCs w:val="18"/>
        </w:rPr>
        <w:t>详细讲解退税流程、注意事项及税单的正确填写。但是如果因为贵宾问题（如没有仔细听讲、没有按照流程操作等）或者客观原因（如遇到海关退税部门临时休息、海关临时更改流程等）在退税过程中出现错误，导致您被扣款、无法退钱、退税金额有所出入等情况，旅行社和导游不负责办理退税业务，不能承担您的损失，请贵宾们理解。</w:t>
      </w:r>
    </w:p>
    <w:p>
      <w:pPr>
        <w:rPr>
          <w:rFonts w:ascii="宋体" w:hAnsi="宋体"/>
          <w:b/>
          <w:sz w:val="18"/>
          <w:szCs w:val="18"/>
        </w:rPr>
      </w:pPr>
    </w:p>
    <w:p>
      <w:pPr>
        <w:rPr>
          <w:rFonts w:ascii="宋体" w:hAnsi="宋体"/>
          <w:b/>
          <w:sz w:val="18"/>
          <w:szCs w:val="18"/>
        </w:rPr>
      </w:pPr>
    </w:p>
    <w:p>
      <w:pPr>
        <w:rPr>
          <w:rFonts w:ascii="宋体"/>
          <w:b/>
          <w:sz w:val="18"/>
          <w:szCs w:val="18"/>
        </w:rPr>
      </w:pPr>
      <w:r>
        <w:rPr>
          <w:rFonts w:hint="eastAsia" w:ascii="宋体" w:hAnsi="宋体"/>
          <w:b/>
          <w:sz w:val="18"/>
          <w:szCs w:val="18"/>
        </w:rPr>
        <w:t>海关入境说明</w:t>
      </w:r>
    </w:p>
    <w:p>
      <w:pPr>
        <w:ind w:left="270" w:hanging="270" w:hangingChars="150"/>
        <w:rPr>
          <w:rFonts w:ascii="宋体"/>
          <w:sz w:val="18"/>
          <w:szCs w:val="18"/>
        </w:rPr>
      </w:pPr>
      <w:r>
        <w:rPr>
          <w:rFonts w:ascii="宋体" w:hAnsi="宋体"/>
          <w:sz w:val="18"/>
          <w:szCs w:val="18"/>
        </w:rPr>
        <w:t xml:space="preserve">1. </w:t>
      </w:r>
      <w:r>
        <w:rPr>
          <w:rFonts w:hint="eastAsia" w:ascii="宋体" w:hAnsi="宋体"/>
          <w:sz w:val="18"/>
          <w:szCs w:val="18"/>
        </w:rPr>
        <w:t>根据海关总署公告</w:t>
      </w:r>
      <w:r>
        <w:rPr>
          <w:rFonts w:ascii="宋体" w:hAnsi="宋体"/>
          <w:sz w:val="18"/>
          <w:szCs w:val="18"/>
        </w:rPr>
        <w:t>2010</w:t>
      </w:r>
      <w:r>
        <w:rPr>
          <w:rFonts w:hint="eastAsia" w:ascii="宋体" w:hAnsi="宋体"/>
          <w:sz w:val="18"/>
          <w:szCs w:val="18"/>
        </w:rPr>
        <w:t>年第</w:t>
      </w:r>
      <w:r>
        <w:rPr>
          <w:rFonts w:ascii="宋体" w:hAnsi="宋体"/>
          <w:sz w:val="18"/>
          <w:szCs w:val="18"/>
        </w:rPr>
        <w:t>54</w:t>
      </w:r>
      <w:r>
        <w:rPr>
          <w:rFonts w:hint="eastAsia" w:ascii="宋体" w:hAnsi="宋体"/>
          <w:sz w:val="18"/>
          <w:szCs w:val="18"/>
        </w:rPr>
        <w:t>号文件，进境居民旅客携带在境外获取的个人自用进境物品，总值在</w:t>
      </w:r>
      <w:r>
        <w:rPr>
          <w:rFonts w:ascii="宋体" w:hAnsi="宋体"/>
          <w:sz w:val="18"/>
          <w:szCs w:val="18"/>
        </w:rPr>
        <w:t>5000</w:t>
      </w:r>
      <w:r>
        <w:rPr>
          <w:rFonts w:hint="eastAsia" w:ascii="宋体" w:hAnsi="宋体"/>
          <w:sz w:val="18"/>
          <w:szCs w:val="18"/>
        </w:rPr>
        <w:t>元人民币以内（含</w:t>
      </w:r>
      <w:r>
        <w:rPr>
          <w:rFonts w:ascii="宋体" w:hAnsi="宋体"/>
          <w:sz w:val="18"/>
          <w:szCs w:val="18"/>
        </w:rPr>
        <w:t>5000</w:t>
      </w:r>
      <w:r>
        <w:rPr>
          <w:rFonts w:hint="eastAsia" w:ascii="宋体" w:hAnsi="宋体"/>
          <w:sz w:val="18"/>
          <w:szCs w:val="18"/>
        </w:rPr>
        <w:t>元）的；非居民旅客携带拟留在中国境内的个人自用进境物品，总值在</w:t>
      </w:r>
      <w:r>
        <w:rPr>
          <w:rFonts w:ascii="宋体" w:hAnsi="宋体"/>
          <w:sz w:val="18"/>
          <w:szCs w:val="18"/>
        </w:rPr>
        <w:t>2000</w:t>
      </w:r>
      <w:r>
        <w:rPr>
          <w:rFonts w:hint="eastAsia" w:ascii="宋体" w:hAnsi="宋体"/>
          <w:sz w:val="18"/>
          <w:szCs w:val="18"/>
        </w:rPr>
        <w:t>元人民币以内（含</w:t>
      </w:r>
      <w:r>
        <w:rPr>
          <w:rFonts w:ascii="宋体" w:hAnsi="宋体"/>
          <w:sz w:val="18"/>
          <w:szCs w:val="18"/>
        </w:rPr>
        <w:t>2000</w:t>
      </w:r>
      <w:r>
        <w:rPr>
          <w:rFonts w:hint="eastAsia" w:ascii="宋体" w:hAnsi="宋体"/>
          <w:sz w:val="18"/>
          <w:szCs w:val="18"/>
        </w:rPr>
        <w:t>元）的，海关予以免税放行，单一品种限自用、合理数量，但烟草制品、酒精制品以及国家规定应当征税的</w:t>
      </w:r>
      <w:r>
        <w:rPr>
          <w:rFonts w:ascii="宋体" w:hAnsi="宋体"/>
          <w:sz w:val="18"/>
          <w:szCs w:val="18"/>
        </w:rPr>
        <w:t>20</w:t>
      </w:r>
      <w:r>
        <w:rPr>
          <w:rFonts w:hint="eastAsia" w:ascii="宋体" w:hAnsi="宋体"/>
          <w:sz w:val="18"/>
          <w:szCs w:val="18"/>
        </w:rPr>
        <w:t>种商品等另按有关规定办理。</w:t>
      </w:r>
    </w:p>
    <w:p>
      <w:pPr>
        <w:ind w:left="245" w:hanging="244" w:hangingChars="136"/>
        <w:rPr>
          <w:rFonts w:ascii="宋体" w:cs="宋体"/>
          <w:color w:val="000000"/>
          <w:sz w:val="18"/>
          <w:szCs w:val="18"/>
        </w:rPr>
      </w:pPr>
      <w:r>
        <w:rPr>
          <w:rFonts w:ascii="宋体" w:hAnsi="宋体" w:cs="宋体"/>
          <w:color w:val="000000"/>
          <w:sz w:val="18"/>
          <w:szCs w:val="18"/>
        </w:rPr>
        <w:t xml:space="preserve">2. </w:t>
      </w:r>
      <w:r>
        <w:rPr>
          <w:rFonts w:hint="eastAsia" w:ascii="宋体" w:hAnsi="宋体" w:cs="宋体"/>
          <w:color w:val="000000"/>
          <w:sz w:val="18"/>
          <w:szCs w:val="18"/>
        </w:rPr>
        <w:t>进境居民旅客携带超出</w:t>
      </w:r>
      <w:r>
        <w:rPr>
          <w:rFonts w:ascii="宋体" w:hAnsi="宋体" w:cs="宋体"/>
          <w:color w:val="000000"/>
          <w:sz w:val="18"/>
          <w:szCs w:val="18"/>
        </w:rPr>
        <w:t>5000</w:t>
      </w:r>
      <w:r>
        <w:rPr>
          <w:rFonts w:hint="eastAsia" w:ascii="宋体" w:hAnsi="宋体" w:cs="宋体"/>
          <w:color w:val="000000"/>
          <w:sz w:val="18"/>
          <w:szCs w:val="18"/>
        </w:rPr>
        <w:t>元人民币的个人自用进境物品，经海关审核确属自用的；进境非居民旅客携带拟留在中国境内的个人自用进境物品，超出人民币</w:t>
      </w:r>
      <w:r>
        <w:rPr>
          <w:rFonts w:ascii="宋体" w:hAnsi="宋体" w:cs="宋体"/>
          <w:color w:val="000000"/>
          <w:sz w:val="18"/>
          <w:szCs w:val="18"/>
        </w:rPr>
        <w:t>2000</w:t>
      </w:r>
      <w:r>
        <w:rPr>
          <w:rFonts w:hint="eastAsia" w:ascii="宋体" w:hAnsi="宋体" w:cs="宋体"/>
          <w:color w:val="000000"/>
          <w:sz w:val="18"/>
          <w:szCs w:val="18"/>
        </w:rPr>
        <w:t>元的，海关仅对超出部分的个人自用进境物品征税，对不可分割的单件物品，全额征税。</w:t>
      </w:r>
    </w:p>
    <w:p>
      <w:pPr>
        <w:ind w:left="270" w:hanging="270" w:hangingChars="150"/>
        <w:rPr>
          <w:rFonts w:ascii="宋体"/>
          <w:sz w:val="18"/>
          <w:szCs w:val="18"/>
        </w:rPr>
      </w:pPr>
      <w:r>
        <w:rPr>
          <w:rFonts w:ascii="宋体" w:hAnsi="宋体" w:cs="宋体"/>
          <w:color w:val="000000"/>
          <w:sz w:val="18"/>
          <w:szCs w:val="18"/>
        </w:rPr>
        <w:t>3.</w:t>
      </w:r>
      <w:r>
        <w:rPr>
          <w:rFonts w:hint="eastAsia" w:ascii="宋体" w:hAnsi="宋体"/>
          <w:sz w:val="18"/>
          <w:szCs w:val="18"/>
        </w:rPr>
        <w:t>根据中国《海关总署公告</w:t>
      </w:r>
      <w:r>
        <w:rPr>
          <w:rFonts w:ascii="宋体" w:hAnsi="宋体"/>
          <w:sz w:val="18"/>
          <w:szCs w:val="18"/>
        </w:rPr>
        <w:t>2004</w:t>
      </w:r>
      <w:r>
        <w:rPr>
          <w:rFonts w:hint="eastAsia" w:ascii="宋体" w:hAnsi="宋体"/>
          <w:sz w:val="18"/>
          <w:szCs w:val="18"/>
        </w:rPr>
        <w:t>年第</w:t>
      </w:r>
      <w:r>
        <w:rPr>
          <w:rFonts w:ascii="宋体" w:hAnsi="宋体"/>
          <w:sz w:val="18"/>
          <w:szCs w:val="18"/>
        </w:rPr>
        <w:t>7</w:t>
      </w:r>
      <w:r>
        <w:rPr>
          <w:rFonts w:hint="eastAsia" w:ascii="宋体" w:hAnsi="宋体"/>
          <w:sz w:val="18"/>
          <w:szCs w:val="18"/>
        </w:rPr>
        <w:t>号》，</w:t>
      </w:r>
      <w:r>
        <w:rPr>
          <w:rFonts w:ascii="宋体" w:hAnsi="宋体"/>
          <w:sz w:val="18"/>
          <w:szCs w:val="18"/>
        </w:rPr>
        <w:t>20</w:t>
      </w:r>
      <w:r>
        <w:rPr>
          <w:rFonts w:hint="eastAsia" w:ascii="宋体" w:hAnsi="宋体"/>
          <w:sz w:val="18"/>
          <w:szCs w:val="18"/>
        </w:rPr>
        <w:t>种不予免税的商品分别为：电视机、摄像机、录像机、放像机、音响设备、空调器、电冰箱</w:t>
      </w:r>
      <w:r>
        <w:rPr>
          <w:rFonts w:ascii="宋体" w:hAnsi="宋体"/>
          <w:sz w:val="18"/>
          <w:szCs w:val="18"/>
        </w:rPr>
        <w:t>(</w:t>
      </w:r>
      <w:r>
        <w:rPr>
          <w:rFonts w:hint="eastAsia" w:ascii="宋体" w:hAnsi="宋体"/>
          <w:sz w:val="18"/>
          <w:szCs w:val="18"/>
        </w:rPr>
        <w:t>电冰柜</w:t>
      </w:r>
      <w:r>
        <w:rPr>
          <w:rFonts w:ascii="宋体" w:hAnsi="宋体"/>
          <w:sz w:val="18"/>
          <w:szCs w:val="18"/>
        </w:rPr>
        <w:t>)</w:t>
      </w:r>
      <w:r>
        <w:rPr>
          <w:rFonts w:hint="eastAsia" w:ascii="宋体" w:hAnsi="宋体"/>
          <w:sz w:val="18"/>
          <w:szCs w:val="18"/>
        </w:rPr>
        <w:t>、洗衣机、照相机、复印机、程控电话交换机、微型计算机及外设、电话机、无线寻呼系统、传真机、电子计数器、打字机及文字处理机、家具、灯具和餐料。</w:t>
      </w:r>
    </w:p>
    <w:p>
      <w:pPr>
        <w:ind w:left="270" w:hanging="270" w:hangingChars="150"/>
        <w:rPr>
          <w:rFonts w:ascii="宋体"/>
          <w:sz w:val="18"/>
          <w:szCs w:val="18"/>
        </w:rPr>
      </w:pPr>
      <w:r>
        <w:rPr>
          <w:rFonts w:ascii="宋体" w:hAnsi="宋体"/>
          <w:sz w:val="18"/>
          <w:szCs w:val="18"/>
        </w:rPr>
        <w:t>4.</w:t>
      </w:r>
      <w:r>
        <w:rPr>
          <w:rFonts w:ascii="宋体" w:hAnsi="宋体" w:cs="宋体"/>
          <w:color w:val="000000"/>
          <w:sz w:val="18"/>
          <w:szCs w:val="18"/>
        </w:rPr>
        <w:t xml:space="preserve"> iPad</w:t>
      </w:r>
      <w:r>
        <w:rPr>
          <w:rFonts w:hint="eastAsia" w:ascii="宋体" w:hAnsi="宋体" w:cs="宋体"/>
          <w:color w:val="000000"/>
          <w:sz w:val="18"/>
          <w:szCs w:val="18"/>
        </w:rPr>
        <w:t>被归为电脑，属于国家规定必须征税的</w:t>
      </w:r>
      <w:r>
        <w:rPr>
          <w:rFonts w:ascii="宋体" w:hAnsi="宋体" w:cs="宋体"/>
          <w:color w:val="000000"/>
          <w:sz w:val="18"/>
          <w:szCs w:val="18"/>
        </w:rPr>
        <w:t xml:space="preserve"> 20</w:t>
      </w:r>
      <w:r>
        <w:rPr>
          <w:rFonts w:hint="eastAsia" w:ascii="宋体" w:hAnsi="宋体" w:cs="宋体"/>
          <w:color w:val="000000"/>
          <w:sz w:val="18"/>
          <w:szCs w:val="18"/>
        </w:rPr>
        <w:t>种商品之一，税率为</w:t>
      </w:r>
      <w:r>
        <w:rPr>
          <w:rFonts w:ascii="宋体" w:hAnsi="宋体" w:cs="宋体"/>
          <w:color w:val="000000"/>
          <w:sz w:val="18"/>
          <w:szCs w:val="18"/>
        </w:rPr>
        <w:t>20%</w:t>
      </w:r>
      <w:r>
        <w:rPr>
          <w:rFonts w:hint="eastAsia" w:ascii="宋体" w:hAnsi="宋体" w:cs="宋体"/>
          <w:color w:val="000000"/>
          <w:sz w:val="18"/>
          <w:szCs w:val="18"/>
        </w:rPr>
        <w:t>。根据《海关总署公告</w:t>
      </w:r>
      <w:r>
        <w:rPr>
          <w:rFonts w:ascii="宋体" w:hAnsi="宋体" w:cs="宋体"/>
          <w:color w:val="000000"/>
          <w:sz w:val="18"/>
          <w:szCs w:val="18"/>
        </w:rPr>
        <w:t>2004</w:t>
      </w:r>
      <w:r>
        <w:rPr>
          <w:rFonts w:hint="eastAsia" w:ascii="宋体" w:hAnsi="宋体" w:cs="宋体"/>
          <w:color w:val="000000"/>
          <w:sz w:val="18"/>
          <w:szCs w:val="18"/>
        </w:rPr>
        <w:t>年第</w:t>
      </w:r>
      <w:r>
        <w:rPr>
          <w:rFonts w:ascii="宋体" w:hAnsi="宋体" w:cs="宋体"/>
          <w:color w:val="000000"/>
          <w:sz w:val="18"/>
          <w:szCs w:val="18"/>
        </w:rPr>
        <w:t>7</w:t>
      </w:r>
      <w:r>
        <w:rPr>
          <w:rFonts w:hint="eastAsia" w:ascii="宋体" w:hAnsi="宋体" w:cs="宋体"/>
          <w:color w:val="000000"/>
          <w:sz w:val="18"/>
          <w:szCs w:val="18"/>
        </w:rPr>
        <w:t>号》，无论购买</w:t>
      </w:r>
      <w:r>
        <w:rPr>
          <w:rFonts w:ascii="宋体" w:hAnsi="宋体" w:cs="宋体"/>
          <w:color w:val="000000"/>
          <w:sz w:val="18"/>
          <w:szCs w:val="18"/>
        </w:rPr>
        <w:t>iPad</w:t>
      </w:r>
      <w:r>
        <w:rPr>
          <w:rFonts w:hint="eastAsia" w:ascii="宋体" w:hAnsi="宋体" w:cs="宋体"/>
          <w:color w:val="000000"/>
          <w:sz w:val="18"/>
          <w:szCs w:val="18"/>
        </w:rPr>
        <w:t>的价格是否超过</w:t>
      </w:r>
      <w:r>
        <w:rPr>
          <w:rFonts w:ascii="宋体" w:hAnsi="宋体" w:cs="宋体"/>
          <w:color w:val="000000"/>
          <w:sz w:val="18"/>
          <w:szCs w:val="18"/>
        </w:rPr>
        <w:t>5000</w:t>
      </w:r>
      <w:r>
        <w:rPr>
          <w:rFonts w:hint="eastAsia" w:ascii="宋体" w:hAnsi="宋体" w:cs="宋体"/>
          <w:color w:val="000000"/>
          <w:sz w:val="18"/>
          <w:szCs w:val="18"/>
        </w:rPr>
        <w:t>元，都应当缴税。根据《入境旅客行李物品和个人邮递物品进口税税则归类表》和《入境旅客行李物品和个人邮递物品完税价格表》，电脑完税价格为每件</w:t>
      </w:r>
      <w:r>
        <w:rPr>
          <w:rFonts w:ascii="宋体" w:hAnsi="宋体" w:cs="宋体"/>
          <w:color w:val="000000"/>
          <w:sz w:val="18"/>
          <w:szCs w:val="18"/>
        </w:rPr>
        <w:t>5000</w:t>
      </w:r>
      <w:r>
        <w:rPr>
          <w:rFonts w:hint="eastAsia" w:ascii="宋体" w:hAnsi="宋体" w:cs="宋体"/>
          <w:color w:val="000000"/>
          <w:sz w:val="18"/>
          <w:szCs w:val="18"/>
        </w:rPr>
        <w:t>元，税率为</w:t>
      </w:r>
      <w:r>
        <w:rPr>
          <w:rFonts w:ascii="宋体" w:hAnsi="宋体" w:cs="宋体"/>
          <w:color w:val="000000"/>
          <w:sz w:val="18"/>
          <w:szCs w:val="18"/>
        </w:rPr>
        <w:t>20%</w:t>
      </w:r>
      <w:r>
        <w:rPr>
          <w:rFonts w:hint="eastAsia" w:ascii="宋体" w:hAnsi="宋体" w:cs="宋体"/>
          <w:color w:val="000000"/>
          <w:sz w:val="18"/>
          <w:szCs w:val="18"/>
        </w:rPr>
        <w:t>，因此若在境外购买一部</w:t>
      </w:r>
      <w:r>
        <w:rPr>
          <w:rFonts w:ascii="宋体" w:hAnsi="宋体" w:cs="宋体"/>
          <w:color w:val="000000"/>
          <w:sz w:val="18"/>
          <w:szCs w:val="18"/>
        </w:rPr>
        <w:t xml:space="preserve"> iPad</w:t>
      </w:r>
      <w:r>
        <w:rPr>
          <w:rFonts w:hint="eastAsia" w:ascii="宋体" w:hAnsi="宋体" w:cs="宋体"/>
          <w:color w:val="000000"/>
          <w:sz w:val="18"/>
          <w:szCs w:val="18"/>
        </w:rPr>
        <w:t>入境，旅客需缴纳</w:t>
      </w:r>
      <w:r>
        <w:rPr>
          <w:rFonts w:ascii="宋体" w:hAnsi="宋体" w:cs="宋体"/>
          <w:color w:val="000000"/>
          <w:sz w:val="18"/>
          <w:szCs w:val="18"/>
        </w:rPr>
        <w:t>1000</w:t>
      </w:r>
      <w:r>
        <w:rPr>
          <w:rFonts w:hint="eastAsia" w:ascii="宋体" w:hAnsi="宋体" w:cs="宋体"/>
          <w:color w:val="000000"/>
          <w:sz w:val="18"/>
          <w:szCs w:val="18"/>
        </w:rPr>
        <w:t>元的税款。</w:t>
      </w:r>
    </w:p>
    <w:p>
      <w:pPr>
        <w:ind w:left="271" w:hanging="271" w:hangingChars="150"/>
        <w:rPr>
          <w:rFonts w:ascii="宋体"/>
          <w:b/>
          <w:sz w:val="18"/>
          <w:szCs w:val="18"/>
        </w:rPr>
      </w:pPr>
      <w:r>
        <w:rPr>
          <w:rFonts w:hint="eastAsia" w:ascii="宋体" w:hAnsi="宋体"/>
          <w:b/>
          <w:sz w:val="18"/>
          <w:szCs w:val="18"/>
        </w:rPr>
        <w:t>《中国公民出境旅游文明公约》：</w:t>
      </w:r>
    </w:p>
    <w:p>
      <w:pPr>
        <w:ind w:left="270" w:hanging="270" w:hangingChars="150"/>
        <w:rPr>
          <w:rFonts w:ascii="宋体"/>
          <w:sz w:val="18"/>
          <w:szCs w:val="18"/>
        </w:rPr>
      </w:pPr>
      <w:r>
        <w:rPr>
          <w:rFonts w:hint="eastAsia" w:ascii="宋体" w:hAnsi="宋体"/>
          <w:sz w:val="18"/>
          <w:szCs w:val="18"/>
        </w:rPr>
        <w:t>中国公民，出境旅游，注重礼仪，保持尊严。讲究卫生，爱护环境；衣着得体，请勿喧哗。</w:t>
      </w:r>
    </w:p>
    <w:p>
      <w:pPr>
        <w:ind w:left="270" w:hanging="270" w:hangingChars="150"/>
        <w:rPr>
          <w:rFonts w:ascii="宋体"/>
          <w:sz w:val="18"/>
          <w:szCs w:val="18"/>
        </w:rPr>
      </w:pPr>
      <w:r>
        <w:rPr>
          <w:rFonts w:hint="eastAsia" w:ascii="宋体" w:hAnsi="宋体"/>
          <w:sz w:val="18"/>
          <w:szCs w:val="18"/>
        </w:rPr>
        <w:t>尊老爱幼，助人为乐；女士优先，礼貌谦让。出行办事，遵守时间；排队有序，不越黄线。</w:t>
      </w:r>
    </w:p>
    <w:p>
      <w:pPr>
        <w:ind w:left="270" w:hanging="270" w:hangingChars="150"/>
        <w:rPr>
          <w:rFonts w:ascii="宋体"/>
          <w:sz w:val="18"/>
          <w:szCs w:val="18"/>
        </w:rPr>
      </w:pPr>
      <w:r>
        <w:rPr>
          <w:rFonts w:hint="eastAsia" w:ascii="宋体" w:hAnsi="宋体"/>
          <w:sz w:val="18"/>
          <w:szCs w:val="18"/>
        </w:rPr>
        <w:t>文明住宿，不损用品；安静用餐，请勿浪费。健康娱乐，有益身心；赌博色情，坚决拒绝。</w:t>
      </w:r>
    </w:p>
    <w:p>
      <w:pPr>
        <w:ind w:left="270" w:hanging="270" w:hangingChars="150"/>
        <w:rPr>
          <w:rFonts w:ascii="宋体"/>
          <w:sz w:val="18"/>
          <w:szCs w:val="18"/>
        </w:rPr>
      </w:pPr>
      <w:r>
        <w:rPr>
          <w:rFonts w:hint="eastAsia" w:ascii="宋体" w:hAnsi="宋体"/>
          <w:sz w:val="18"/>
          <w:szCs w:val="18"/>
        </w:rPr>
        <w:t>参观游览，遵守规定；习俗禁忌，切勿冒犯。遇有疑难，咨询领馆；文明出行，一路平安。</w:t>
      </w:r>
    </w:p>
    <w:p>
      <w:pPr>
        <w:rPr>
          <w:rFonts w:ascii="宋体"/>
          <w:sz w:val="18"/>
          <w:szCs w:val="18"/>
        </w:rPr>
      </w:pPr>
    </w:p>
    <w:sectPr>
      <w:headerReference r:id="rId3" w:type="default"/>
      <w:pgSz w:w="11906" w:h="16838"/>
      <w:pgMar w:top="3402" w:right="1800" w:bottom="1417" w:left="1803"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ookman Old Style">
    <w:altName w:val="Georgia"/>
    <w:panose1 w:val="02050604050505020204"/>
    <w:charset w:val="00"/>
    <w:family w:val="roman"/>
    <w:pitch w:val="default"/>
    <w:sig w:usb0="00000000" w:usb1="00000000" w:usb2="00000000" w:usb3="00000000" w:csb0="000000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Webdings">
    <w:panose1 w:val="05030102010509060703"/>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single" w:color="auto" w:sz="6" w:space="0"/>
      </w:pBdr>
    </w:pPr>
    <w:r>
      <w:rPr>
        <w:rFonts w:hint="eastAsia"/>
      </w:rPr>
      <w:drawing>
        <wp:anchor distT="0" distB="0" distL="114300" distR="114300" simplePos="0" relativeHeight="251658240" behindDoc="1" locked="0" layoutInCell="1" allowOverlap="1">
          <wp:simplePos x="0" y="0"/>
          <wp:positionH relativeFrom="column">
            <wp:posOffset>-1240155</wp:posOffset>
          </wp:positionH>
          <wp:positionV relativeFrom="paragraph">
            <wp:posOffset>-677545</wp:posOffset>
          </wp:positionV>
          <wp:extent cx="7654925" cy="10828655"/>
          <wp:effectExtent l="0" t="0" r="3175" b="10795"/>
          <wp:wrapNone/>
          <wp:docPr id="4" name="图片 4"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背景"/>
                  <pic:cNvPicPr>
                    <a:picLocks noChangeAspect="1"/>
                  </pic:cNvPicPr>
                </pic:nvPicPr>
                <pic:blipFill>
                  <a:blip r:embed="rId1"/>
                  <a:stretch>
                    <a:fillRect/>
                  </a:stretch>
                </pic:blipFill>
                <pic:spPr>
                  <a:xfrm>
                    <a:off x="0" y="0"/>
                    <a:ext cx="7654925" cy="1082865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04px;height:114px" o:bullet="t">
        <v:imagedata r:id="rId1" o:title=""/>
      </v:shape>
    </w:pict>
  </w:numPicBullet>
  <w:abstractNum w:abstractNumId="0">
    <w:nsid w:val="0000000C"/>
    <w:multiLevelType w:val="multilevel"/>
    <w:tmpl w:val="0000000C"/>
    <w:lvl w:ilvl="0" w:tentative="0">
      <w:start w:val="1"/>
      <w:numFmt w:val="decimal"/>
      <w:lvlText w:val="%1、"/>
      <w:lvlJc w:val="left"/>
      <w:pPr>
        <w:tabs>
          <w:tab w:val="left" w:pos="420"/>
        </w:tabs>
        <w:ind w:left="420" w:hanging="420"/>
      </w:pPr>
      <w:rPr>
        <w:rFonts w:ascii="Arial" w:hAnsi="Arial" w:eastAsia="宋体" w:cs="Arial"/>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0000001C"/>
    <w:multiLevelType w:val="multilevel"/>
    <w:tmpl w:val="0000001C"/>
    <w:lvl w:ilvl="0" w:tentative="0">
      <w:start w:val="1"/>
      <w:numFmt w:val="decimal"/>
      <w:lvlText w:val="%1、"/>
      <w:lvlJc w:val="left"/>
      <w:pPr>
        <w:tabs>
          <w:tab w:val="left" w:pos="360"/>
        </w:tabs>
        <w:ind w:left="360" w:hanging="360"/>
      </w:pPr>
      <w:rPr>
        <w:rFonts w:hint="default"/>
      </w:r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A947B5C"/>
    <w:multiLevelType w:val="multilevel"/>
    <w:tmpl w:val="0A947B5C"/>
    <w:lvl w:ilvl="0" w:tentative="0">
      <w:start w:val="1"/>
      <w:numFmt w:val="decimal"/>
      <w:lvlText w:val="%1)"/>
      <w:lvlJc w:val="left"/>
      <w:pPr>
        <w:ind w:left="420" w:hanging="4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1941758E"/>
    <w:multiLevelType w:val="multilevel"/>
    <w:tmpl w:val="1941758E"/>
    <w:lvl w:ilvl="0" w:tentative="0">
      <w:start w:val="1"/>
      <w:numFmt w:val="decimal"/>
      <w:lvlText w:val="%1."/>
      <w:lvlJc w:val="left"/>
      <w:pPr>
        <w:tabs>
          <w:tab w:val="left" w:pos="1740"/>
        </w:tabs>
        <w:ind w:left="1740" w:hanging="420"/>
      </w:pPr>
      <w:rPr>
        <w:rFonts w:hint="default" w:ascii="Symbol" w:hAnsi="Symbol"/>
        <w:color w:val="auto"/>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PicBulletId w:val="0"/>
      <w:lvlJc w:val="left"/>
      <w:pPr>
        <w:tabs>
          <w:tab w:val="left" w:pos="1680"/>
        </w:tabs>
        <w:ind w:left="1680" w:hanging="420"/>
      </w:pPr>
      <w:rPr>
        <w:rFonts w:hint="default" w:ascii="Symbol" w:hAnsi="Symbol"/>
        <w:color w:val="auto"/>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3A1857F7"/>
    <w:multiLevelType w:val="multilevel"/>
    <w:tmpl w:val="3A1857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86A25A2"/>
    <w:multiLevelType w:val="multilevel"/>
    <w:tmpl w:val="586A25A2"/>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decimal"/>
      <w:lvlText w:val="%3、"/>
      <w:lvlJc w:val="left"/>
      <w:pPr>
        <w:ind w:left="1620" w:hanging="360"/>
      </w:pPr>
      <w:rPr>
        <w:rFonts w:hint="default"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6">
    <w:nsid w:val="5F231E0A"/>
    <w:multiLevelType w:val="multilevel"/>
    <w:tmpl w:val="5F231E0A"/>
    <w:lvl w:ilvl="0" w:tentative="0">
      <w:start w:val="1"/>
      <w:numFmt w:val="decimal"/>
      <w:lvlText w:val="%1）"/>
      <w:lvlJc w:val="left"/>
      <w:pPr>
        <w:ind w:left="780" w:hanging="360"/>
      </w:pPr>
      <w:rPr>
        <w:rFonts w:hint="default" w:cs="Times New Roman"/>
      </w:rPr>
    </w:lvl>
    <w:lvl w:ilvl="1" w:tentative="0">
      <w:start w:val="1"/>
      <w:numFmt w:val="lowerLetter"/>
      <w:lvlText w:val="%2)"/>
      <w:lvlJc w:val="left"/>
      <w:pPr>
        <w:ind w:left="1260" w:hanging="420"/>
      </w:pPr>
      <w:rPr>
        <w:rFonts w:cs="Times New Roman"/>
      </w:rPr>
    </w:lvl>
    <w:lvl w:ilvl="2" w:tentative="0">
      <w:start w:val="1"/>
      <w:numFmt w:val="lowerRoman"/>
      <w:lvlText w:val="%3."/>
      <w:lvlJc w:val="right"/>
      <w:pPr>
        <w:ind w:left="1680" w:hanging="420"/>
      </w:pPr>
      <w:rPr>
        <w:rFonts w:cs="Times New Roman"/>
      </w:rPr>
    </w:lvl>
    <w:lvl w:ilvl="3" w:tentative="0">
      <w:start w:val="1"/>
      <w:numFmt w:val="decimal"/>
      <w:lvlText w:val="%4."/>
      <w:lvlJc w:val="left"/>
      <w:pPr>
        <w:ind w:left="2100" w:hanging="420"/>
      </w:pPr>
      <w:rPr>
        <w:rFonts w:cs="Times New Roman"/>
      </w:rPr>
    </w:lvl>
    <w:lvl w:ilvl="4" w:tentative="0">
      <w:start w:val="1"/>
      <w:numFmt w:val="lowerLetter"/>
      <w:lvlText w:val="%5)"/>
      <w:lvlJc w:val="left"/>
      <w:pPr>
        <w:ind w:left="2520" w:hanging="420"/>
      </w:pPr>
      <w:rPr>
        <w:rFonts w:cs="Times New Roman"/>
      </w:rPr>
    </w:lvl>
    <w:lvl w:ilvl="5" w:tentative="0">
      <w:start w:val="1"/>
      <w:numFmt w:val="lowerRoman"/>
      <w:lvlText w:val="%6."/>
      <w:lvlJc w:val="right"/>
      <w:pPr>
        <w:ind w:left="2940" w:hanging="420"/>
      </w:pPr>
      <w:rPr>
        <w:rFonts w:cs="Times New Roman"/>
      </w:rPr>
    </w:lvl>
    <w:lvl w:ilvl="6" w:tentative="0">
      <w:start w:val="1"/>
      <w:numFmt w:val="decimal"/>
      <w:lvlText w:val="%7."/>
      <w:lvlJc w:val="left"/>
      <w:pPr>
        <w:ind w:left="3360" w:hanging="420"/>
      </w:pPr>
      <w:rPr>
        <w:rFonts w:cs="Times New Roman"/>
      </w:rPr>
    </w:lvl>
    <w:lvl w:ilvl="7" w:tentative="0">
      <w:start w:val="1"/>
      <w:numFmt w:val="lowerLetter"/>
      <w:lvlText w:val="%8)"/>
      <w:lvlJc w:val="left"/>
      <w:pPr>
        <w:ind w:left="3780" w:hanging="420"/>
      </w:pPr>
      <w:rPr>
        <w:rFonts w:cs="Times New Roman"/>
      </w:rPr>
    </w:lvl>
    <w:lvl w:ilvl="8" w:tentative="0">
      <w:start w:val="1"/>
      <w:numFmt w:val="lowerRoman"/>
      <w:lvlText w:val="%9."/>
      <w:lvlJc w:val="right"/>
      <w:pPr>
        <w:ind w:left="4200" w:hanging="420"/>
      </w:pPr>
      <w:rPr>
        <w:rFonts w:cs="Times New Roman"/>
      </w:rPr>
    </w:lvl>
  </w:abstractNum>
  <w:abstractNum w:abstractNumId="7">
    <w:nsid w:val="7AEC7FEF"/>
    <w:multiLevelType w:val="multilevel"/>
    <w:tmpl w:val="7AEC7FEF"/>
    <w:lvl w:ilvl="0" w:tentative="0">
      <w:start w:val="1"/>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8">
    <w:nsid w:val="7FBD3B88"/>
    <w:multiLevelType w:val="multilevel"/>
    <w:tmpl w:val="7FBD3B88"/>
    <w:lvl w:ilvl="0" w:tentative="0">
      <w:start w:val="4"/>
      <w:numFmt w:val="decimal"/>
      <w:lvlText w:val="%1）"/>
      <w:lvlJc w:val="left"/>
      <w:pPr>
        <w:ind w:left="765" w:hanging="360"/>
      </w:pPr>
      <w:rPr>
        <w:rFonts w:hint="default" w:cs="Times New Roman"/>
      </w:rPr>
    </w:lvl>
    <w:lvl w:ilvl="1" w:tentative="0">
      <w:start w:val="1"/>
      <w:numFmt w:val="lowerLetter"/>
      <w:lvlText w:val="%2)"/>
      <w:lvlJc w:val="left"/>
      <w:pPr>
        <w:ind w:left="1245" w:hanging="420"/>
      </w:pPr>
      <w:rPr>
        <w:rFonts w:cs="Times New Roman"/>
      </w:rPr>
    </w:lvl>
    <w:lvl w:ilvl="2" w:tentative="0">
      <w:start w:val="1"/>
      <w:numFmt w:val="lowerRoman"/>
      <w:lvlText w:val="%3."/>
      <w:lvlJc w:val="right"/>
      <w:pPr>
        <w:ind w:left="1665" w:hanging="420"/>
      </w:pPr>
      <w:rPr>
        <w:rFonts w:cs="Times New Roman"/>
      </w:rPr>
    </w:lvl>
    <w:lvl w:ilvl="3" w:tentative="0">
      <w:start w:val="1"/>
      <w:numFmt w:val="decimal"/>
      <w:lvlText w:val="%4."/>
      <w:lvlJc w:val="left"/>
      <w:pPr>
        <w:ind w:left="2085" w:hanging="420"/>
      </w:pPr>
      <w:rPr>
        <w:rFonts w:cs="Times New Roman"/>
      </w:rPr>
    </w:lvl>
    <w:lvl w:ilvl="4" w:tentative="0">
      <w:start w:val="1"/>
      <w:numFmt w:val="lowerLetter"/>
      <w:lvlText w:val="%5)"/>
      <w:lvlJc w:val="left"/>
      <w:pPr>
        <w:ind w:left="2505" w:hanging="420"/>
      </w:pPr>
      <w:rPr>
        <w:rFonts w:cs="Times New Roman"/>
      </w:rPr>
    </w:lvl>
    <w:lvl w:ilvl="5" w:tentative="0">
      <w:start w:val="1"/>
      <w:numFmt w:val="lowerRoman"/>
      <w:lvlText w:val="%6."/>
      <w:lvlJc w:val="right"/>
      <w:pPr>
        <w:ind w:left="2925" w:hanging="420"/>
      </w:pPr>
      <w:rPr>
        <w:rFonts w:cs="Times New Roman"/>
      </w:rPr>
    </w:lvl>
    <w:lvl w:ilvl="6" w:tentative="0">
      <w:start w:val="1"/>
      <w:numFmt w:val="decimal"/>
      <w:lvlText w:val="%7."/>
      <w:lvlJc w:val="left"/>
      <w:pPr>
        <w:ind w:left="3345" w:hanging="420"/>
      </w:pPr>
      <w:rPr>
        <w:rFonts w:cs="Times New Roman"/>
      </w:rPr>
    </w:lvl>
    <w:lvl w:ilvl="7" w:tentative="0">
      <w:start w:val="1"/>
      <w:numFmt w:val="lowerLetter"/>
      <w:lvlText w:val="%8)"/>
      <w:lvlJc w:val="left"/>
      <w:pPr>
        <w:ind w:left="3765" w:hanging="420"/>
      </w:pPr>
      <w:rPr>
        <w:rFonts w:cs="Times New Roman"/>
      </w:rPr>
    </w:lvl>
    <w:lvl w:ilvl="8" w:tentative="0">
      <w:start w:val="1"/>
      <w:numFmt w:val="lowerRoman"/>
      <w:lvlText w:val="%9."/>
      <w:lvlJc w:val="right"/>
      <w:pPr>
        <w:ind w:left="4185" w:hanging="420"/>
      </w:pPr>
      <w:rPr>
        <w:rFonts w:cs="Times New Roman"/>
      </w:rPr>
    </w:lvl>
  </w:abstractNum>
  <w:num w:numId="1">
    <w:abstractNumId w:val="0"/>
  </w:num>
  <w:num w:numId="2">
    <w:abstractNumId w:val="4"/>
  </w:num>
  <w:num w:numId="3">
    <w:abstractNumId w:val="1"/>
  </w:num>
  <w:num w:numId="4">
    <w:abstractNumId w:val="5"/>
  </w:num>
  <w:num w:numId="5">
    <w:abstractNumId w:val="8"/>
  </w:num>
  <w:num w:numId="6">
    <w:abstractNumId w:val="2"/>
  </w:num>
  <w:num w:numId="7">
    <w:abstractNumId w:val="7"/>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8"/>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5FC"/>
    <w:rsid w:val="0000164B"/>
    <w:rsid w:val="00013648"/>
    <w:rsid w:val="00020EC5"/>
    <w:rsid w:val="000238B1"/>
    <w:rsid w:val="00046BF1"/>
    <w:rsid w:val="00066E56"/>
    <w:rsid w:val="000676EE"/>
    <w:rsid w:val="00071060"/>
    <w:rsid w:val="00084D3A"/>
    <w:rsid w:val="00086F7E"/>
    <w:rsid w:val="000A6ED5"/>
    <w:rsid w:val="000C0EF9"/>
    <w:rsid w:val="000C6EC5"/>
    <w:rsid w:val="000D2725"/>
    <w:rsid w:val="000E6D02"/>
    <w:rsid w:val="001156E7"/>
    <w:rsid w:val="00126184"/>
    <w:rsid w:val="00152025"/>
    <w:rsid w:val="001601BB"/>
    <w:rsid w:val="00162672"/>
    <w:rsid w:val="001B33C9"/>
    <w:rsid w:val="001C11FC"/>
    <w:rsid w:val="001D42A2"/>
    <w:rsid w:val="002004FC"/>
    <w:rsid w:val="00204C89"/>
    <w:rsid w:val="00212031"/>
    <w:rsid w:val="00212AA5"/>
    <w:rsid w:val="002177D0"/>
    <w:rsid w:val="002540AF"/>
    <w:rsid w:val="0026089C"/>
    <w:rsid w:val="00262E7D"/>
    <w:rsid w:val="00270EBF"/>
    <w:rsid w:val="002949D4"/>
    <w:rsid w:val="00296DEC"/>
    <w:rsid w:val="0029707E"/>
    <w:rsid w:val="002B15AB"/>
    <w:rsid w:val="002B22D8"/>
    <w:rsid w:val="002B44AB"/>
    <w:rsid w:val="002D6B03"/>
    <w:rsid w:val="002D6F06"/>
    <w:rsid w:val="002F1D86"/>
    <w:rsid w:val="002F6DBB"/>
    <w:rsid w:val="00302549"/>
    <w:rsid w:val="00311528"/>
    <w:rsid w:val="003475D7"/>
    <w:rsid w:val="00380853"/>
    <w:rsid w:val="00383657"/>
    <w:rsid w:val="003870B8"/>
    <w:rsid w:val="00394F43"/>
    <w:rsid w:val="003B67C0"/>
    <w:rsid w:val="003C4671"/>
    <w:rsid w:val="003D29CE"/>
    <w:rsid w:val="003F7C2F"/>
    <w:rsid w:val="00403C75"/>
    <w:rsid w:val="0041336C"/>
    <w:rsid w:val="00421494"/>
    <w:rsid w:val="00431296"/>
    <w:rsid w:val="00454033"/>
    <w:rsid w:val="004570B0"/>
    <w:rsid w:val="00483E8B"/>
    <w:rsid w:val="00485B49"/>
    <w:rsid w:val="004945CF"/>
    <w:rsid w:val="004A7872"/>
    <w:rsid w:val="004B02BB"/>
    <w:rsid w:val="004B46B5"/>
    <w:rsid w:val="004C0FBD"/>
    <w:rsid w:val="004D2112"/>
    <w:rsid w:val="004D4D29"/>
    <w:rsid w:val="00506F6B"/>
    <w:rsid w:val="00520F71"/>
    <w:rsid w:val="005225C3"/>
    <w:rsid w:val="00536E20"/>
    <w:rsid w:val="0054298D"/>
    <w:rsid w:val="00554636"/>
    <w:rsid w:val="00596008"/>
    <w:rsid w:val="005A4D56"/>
    <w:rsid w:val="005B5215"/>
    <w:rsid w:val="005B77DD"/>
    <w:rsid w:val="005F10B8"/>
    <w:rsid w:val="00610E3F"/>
    <w:rsid w:val="006203CA"/>
    <w:rsid w:val="00623F8D"/>
    <w:rsid w:val="00630588"/>
    <w:rsid w:val="006307F2"/>
    <w:rsid w:val="0063599B"/>
    <w:rsid w:val="00644BE3"/>
    <w:rsid w:val="00646233"/>
    <w:rsid w:val="00656F31"/>
    <w:rsid w:val="006665E8"/>
    <w:rsid w:val="0067176B"/>
    <w:rsid w:val="006768EB"/>
    <w:rsid w:val="006874E5"/>
    <w:rsid w:val="006B0875"/>
    <w:rsid w:val="006E2662"/>
    <w:rsid w:val="007010A4"/>
    <w:rsid w:val="007022CE"/>
    <w:rsid w:val="00703641"/>
    <w:rsid w:val="0070630E"/>
    <w:rsid w:val="00726E5F"/>
    <w:rsid w:val="00757FCD"/>
    <w:rsid w:val="007859A2"/>
    <w:rsid w:val="007924E3"/>
    <w:rsid w:val="00793B13"/>
    <w:rsid w:val="007A1EB2"/>
    <w:rsid w:val="007A4453"/>
    <w:rsid w:val="007B25FC"/>
    <w:rsid w:val="00804567"/>
    <w:rsid w:val="00834736"/>
    <w:rsid w:val="00854C82"/>
    <w:rsid w:val="00856329"/>
    <w:rsid w:val="00885ED2"/>
    <w:rsid w:val="008B6890"/>
    <w:rsid w:val="008B6CDC"/>
    <w:rsid w:val="008C77BB"/>
    <w:rsid w:val="0090046A"/>
    <w:rsid w:val="00905563"/>
    <w:rsid w:val="00906EF6"/>
    <w:rsid w:val="00907E2C"/>
    <w:rsid w:val="0091404A"/>
    <w:rsid w:val="00927FA8"/>
    <w:rsid w:val="00931CEC"/>
    <w:rsid w:val="00965570"/>
    <w:rsid w:val="00976E87"/>
    <w:rsid w:val="00985DD4"/>
    <w:rsid w:val="00986ED0"/>
    <w:rsid w:val="009938D8"/>
    <w:rsid w:val="009A7EFF"/>
    <w:rsid w:val="009B27A1"/>
    <w:rsid w:val="009D244B"/>
    <w:rsid w:val="009E6E66"/>
    <w:rsid w:val="009E76C0"/>
    <w:rsid w:val="00A04C2B"/>
    <w:rsid w:val="00A1181B"/>
    <w:rsid w:val="00A15FC4"/>
    <w:rsid w:val="00A540AF"/>
    <w:rsid w:val="00A54B36"/>
    <w:rsid w:val="00A569DA"/>
    <w:rsid w:val="00A70243"/>
    <w:rsid w:val="00A7409A"/>
    <w:rsid w:val="00A749F0"/>
    <w:rsid w:val="00A77713"/>
    <w:rsid w:val="00A80FE4"/>
    <w:rsid w:val="00AA00B6"/>
    <w:rsid w:val="00AA4431"/>
    <w:rsid w:val="00AA4A89"/>
    <w:rsid w:val="00AB6A36"/>
    <w:rsid w:val="00AC4862"/>
    <w:rsid w:val="00AC764A"/>
    <w:rsid w:val="00B26860"/>
    <w:rsid w:val="00B35EA0"/>
    <w:rsid w:val="00B40B14"/>
    <w:rsid w:val="00B43CDB"/>
    <w:rsid w:val="00B53650"/>
    <w:rsid w:val="00B62CAB"/>
    <w:rsid w:val="00B65465"/>
    <w:rsid w:val="00B83CAF"/>
    <w:rsid w:val="00B90118"/>
    <w:rsid w:val="00BE6D17"/>
    <w:rsid w:val="00C321E7"/>
    <w:rsid w:val="00C44D1D"/>
    <w:rsid w:val="00C51AC2"/>
    <w:rsid w:val="00C55A18"/>
    <w:rsid w:val="00C60EAE"/>
    <w:rsid w:val="00C65AF5"/>
    <w:rsid w:val="00C67587"/>
    <w:rsid w:val="00C71EFB"/>
    <w:rsid w:val="00C8590D"/>
    <w:rsid w:val="00C904FE"/>
    <w:rsid w:val="00CC1F99"/>
    <w:rsid w:val="00CC5661"/>
    <w:rsid w:val="00CD1CD8"/>
    <w:rsid w:val="00CE5C9A"/>
    <w:rsid w:val="00D11B03"/>
    <w:rsid w:val="00D44786"/>
    <w:rsid w:val="00D57D25"/>
    <w:rsid w:val="00D709D4"/>
    <w:rsid w:val="00D92CCC"/>
    <w:rsid w:val="00DA4876"/>
    <w:rsid w:val="00DB0315"/>
    <w:rsid w:val="00DB0D8C"/>
    <w:rsid w:val="00DC437D"/>
    <w:rsid w:val="00DC6ED3"/>
    <w:rsid w:val="00DD1437"/>
    <w:rsid w:val="00DF490B"/>
    <w:rsid w:val="00E46468"/>
    <w:rsid w:val="00E67EA3"/>
    <w:rsid w:val="00E805C8"/>
    <w:rsid w:val="00E94855"/>
    <w:rsid w:val="00E95E8C"/>
    <w:rsid w:val="00EB1289"/>
    <w:rsid w:val="00ED317E"/>
    <w:rsid w:val="00ED6EC1"/>
    <w:rsid w:val="00EF256B"/>
    <w:rsid w:val="00EF4DCB"/>
    <w:rsid w:val="00F147DB"/>
    <w:rsid w:val="00F268D9"/>
    <w:rsid w:val="00F27FE4"/>
    <w:rsid w:val="00F453E3"/>
    <w:rsid w:val="00F50EB5"/>
    <w:rsid w:val="00F56F7A"/>
    <w:rsid w:val="00F768E2"/>
    <w:rsid w:val="00F85FFE"/>
    <w:rsid w:val="00F87A3B"/>
    <w:rsid w:val="00FB3902"/>
    <w:rsid w:val="00FB4E97"/>
    <w:rsid w:val="00FC37BF"/>
    <w:rsid w:val="00FD2B81"/>
    <w:rsid w:val="00FD6696"/>
    <w:rsid w:val="00FE2F7A"/>
    <w:rsid w:val="00FE7D6B"/>
    <w:rsid w:val="00FF6F16"/>
    <w:rsid w:val="016E2F4C"/>
    <w:rsid w:val="01B17A43"/>
    <w:rsid w:val="01C63852"/>
    <w:rsid w:val="01D01392"/>
    <w:rsid w:val="01EF3247"/>
    <w:rsid w:val="05EE16BF"/>
    <w:rsid w:val="05FC3F52"/>
    <w:rsid w:val="06490CDD"/>
    <w:rsid w:val="0670009A"/>
    <w:rsid w:val="068F0BD1"/>
    <w:rsid w:val="077426BF"/>
    <w:rsid w:val="07854E72"/>
    <w:rsid w:val="084A079E"/>
    <w:rsid w:val="08D823B4"/>
    <w:rsid w:val="0A0C77C0"/>
    <w:rsid w:val="0A221109"/>
    <w:rsid w:val="0B324B6C"/>
    <w:rsid w:val="0C4D458E"/>
    <w:rsid w:val="0E2F11C8"/>
    <w:rsid w:val="0E737AC2"/>
    <w:rsid w:val="0EFD153B"/>
    <w:rsid w:val="106F23B6"/>
    <w:rsid w:val="1074501C"/>
    <w:rsid w:val="11497BE1"/>
    <w:rsid w:val="11CB733E"/>
    <w:rsid w:val="11D34600"/>
    <w:rsid w:val="123627C2"/>
    <w:rsid w:val="137A0F3E"/>
    <w:rsid w:val="147A7E53"/>
    <w:rsid w:val="14BB5240"/>
    <w:rsid w:val="15595028"/>
    <w:rsid w:val="168673F1"/>
    <w:rsid w:val="17FD6DD4"/>
    <w:rsid w:val="1A9351A3"/>
    <w:rsid w:val="1AFD4498"/>
    <w:rsid w:val="1B5F443F"/>
    <w:rsid w:val="1B826631"/>
    <w:rsid w:val="1BBC125B"/>
    <w:rsid w:val="1BE40189"/>
    <w:rsid w:val="1C4B2ED7"/>
    <w:rsid w:val="1E5711A8"/>
    <w:rsid w:val="1EF178F3"/>
    <w:rsid w:val="1F2D14BB"/>
    <w:rsid w:val="20DC2C51"/>
    <w:rsid w:val="213F38A4"/>
    <w:rsid w:val="21755232"/>
    <w:rsid w:val="231F68D5"/>
    <w:rsid w:val="23A75D5C"/>
    <w:rsid w:val="24462B8E"/>
    <w:rsid w:val="24CB286B"/>
    <w:rsid w:val="24D569FD"/>
    <w:rsid w:val="25023499"/>
    <w:rsid w:val="25947471"/>
    <w:rsid w:val="25A92FCF"/>
    <w:rsid w:val="26BA3D61"/>
    <w:rsid w:val="27644EBE"/>
    <w:rsid w:val="276816FB"/>
    <w:rsid w:val="278C0466"/>
    <w:rsid w:val="2808048C"/>
    <w:rsid w:val="281F3FD3"/>
    <w:rsid w:val="295142D9"/>
    <w:rsid w:val="2A1F54B5"/>
    <w:rsid w:val="2B080F91"/>
    <w:rsid w:val="2B1B27D4"/>
    <w:rsid w:val="2B9C6B0A"/>
    <w:rsid w:val="2C2A30B9"/>
    <w:rsid w:val="2CD36E93"/>
    <w:rsid w:val="2D9D77E0"/>
    <w:rsid w:val="2DF36570"/>
    <w:rsid w:val="2E95474B"/>
    <w:rsid w:val="30414BB7"/>
    <w:rsid w:val="30826B1A"/>
    <w:rsid w:val="308D1737"/>
    <w:rsid w:val="3128502A"/>
    <w:rsid w:val="312B5B7E"/>
    <w:rsid w:val="325032D3"/>
    <w:rsid w:val="3279475B"/>
    <w:rsid w:val="3484618F"/>
    <w:rsid w:val="355F671C"/>
    <w:rsid w:val="361D6C51"/>
    <w:rsid w:val="362A3B87"/>
    <w:rsid w:val="36477A0F"/>
    <w:rsid w:val="36734143"/>
    <w:rsid w:val="372208A6"/>
    <w:rsid w:val="3865289A"/>
    <w:rsid w:val="38B05B8F"/>
    <w:rsid w:val="3B314929"/>
    <w:rsid w:val="3CA9107A"/>
    <w:rsid w:val="3CF64B11"/>
    <w:rsid w:val="3D727724"/>
    <w:rsid w:val="3D7A5EBB"/>
    <w:rsid w:val="3DDB0235"/>
    <w:rsid w:val="3E207326"/>
    <w:rsid w:val="3ED92842"/>
    <w:rsid w:val="3F265D12"/>
    <w:rsid w:val="3FC05886"/>
    <w:rsid w:val="40DF7BF3"/>
    <w:rsid w:val="412A4F57"/>
    <w:rsid w:val="41710E27"/>
    <w:rsid w:val="417406EF"/>
    <w:rsid w:val="421331F0"/>
    <w:rsid w:val="423B06D5"/>
    <w:rsid w:val="433C1DF7"/>
    <w:rsid w:val="4342034E"/>
    <w:rsid w:val="43AD0642"/>
    <w:rsid w:val="44607257"/>
    <w:rsid w:val="4487794F"/>
    <w:rsid w:val="45581B62"/>
    <w:rsid w:val="459B57C3"/>
    <w:rsid w:val="45BC49FC"/>
    <w:rsid w:val="46CC1C99"/>
    <w:rsid w:val="486733D0"/>
    <w:rsid w:val="4AAB67A7"/>
    <w:rsid w:val="4B88067C"/>
    <w:rsid w:val="4D3E1A4C"/>
    <w:rsid w:val="4D632257"/>
    <w:rsid w:val="4DA064E6"/>
    <w:rsid w:val="4E0D1E54"/>
    <w:rsid w:val="4EB119D4"/>
    <w:rsid w:val="4EC6263F"/>
    <w:rsid w:val="4F7C13E5"/>
    <w:rsid w:val="4FEF1102"/>
    <w:rsid w:val="5026023F"/>
    <w:rsid w:val="5088650D"/>
    <w:rsid w:val="509F7171"/>
    <w:rsid w:val="50F53753"/>
    <w:rsid w:val="51C825F5"/>
    <w:rsid w:val="52414376"/>
    <w:rsid w:val="53AB0651"/>
    <w:rsid w:val="54B2238D"/>
    <w:rsid w:val="568F255F"/>
    <w:rsid w:val="56F40017"/>
    <w:rsid w:val="578D1F76"/>
    <w:rsid w:val="59A233F2"/>
    <w:rsid w:val="5A7C3930"/>
    <w:rsid w:val="5A977017"/>
    <w:rsid w:val="5B0875F7"/>
    <w:rsid w:val="5BF175C3"/>
    <w:rsid w:val="5C447259"/>
    <w:rsid w:val="5C713684"/>
    <w:rsid w:val="5CB01AF7"/>
    <w:rsid w:val="5DB2193C"/>
    <w:rsid w:val="5F0B2793"/>
    <w:rsid w:val="606956CB"/>
    <w:rsid w:val="607E2D9A"/>
    <w:rsid w:val="64242F51"/>
    <w:rsid w:val="64E5242E"/>
    <w:rsid w:val="658A49AB"/>
    <w:rsid w:val="65C00705"/>
    <w:rsid w:val="677713B8"/>
    <w:rsid w:val="69014821"/>
    <w:rsid w:val="69A72DAE"/>
    <w:rsid w:val="6B6D3E52"/>
    <w:rsid w:val="6D0D14DF"/>
    <w:rsid w:val="6DE5760A"/>
    <w:rsid w:val="6E573EF6"/>
    <w:rsid w:val="6E7F705C"/>
    <w:rsid w:val="6EC40356"/>
    <w:rsid w:val="6F9A0BA0"/>
    <w:rsid w:val="6FB90F60"/>
    <w:rsid w:val="70431593"/>
    <w:rsid w:val="713B18C8"/>
    <w:rsid w:val="73696DCC"/>
    <w:rsid w:val="73C53F4D"/>
    <w:rsid w:val="73DE6105"/>
    <w:rsid w:val="74303DE8"/>
    <w:rsid w:val="745C5273"/>
    <w:rsid w:val="74860467"/>
    <w:rsid w:val="75566176"/>
    <w:rsid w:val="757E1BB6"/>
    <w:rsid w:val="76751393"/>
    <w:rsid w:val="781E663E"/>
    <w:rsid w:val="79871D99"/>
    <w:rsid w:val="7A7C7B3D"/>
    <w:rsid w:val="7D280990"/>
    <w:rsid w:val="7DB95A06"/>
    <w:rsid w:val="7F2641A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qFormat="1" w:uiPriority="0" w:semiHidden="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qFormat/>
    <w:uiPriority w:val="99"/>
    <w:pPr>
      <w:pBdr>
        <w:bottom w:val="thinThickSmallGap" w:color="943634" w:sz="12" w:space="1"/>
      </w:pBdr>
      <w:spacing w:before="400"/>
      <w:jc w:val="center"/>
      <w:outlineLvl w:val="0"/>
    </w:pPr>
    <w:rPr>
      <w:caps/>
      <w:color w:val="632423"/>
      <w:spacing w:val="20"/>
      <w:sz w:val="28"/>
      <w:szCs w:val="28"/>
    </w:rPr>
  </w:style>
  <w:style w:type="character" w:default="1" w:styleId="13">
    <w:name w:val="Default Paragraph Font"/>
    <w:semiHidden/>
    <w:unhideWhenUsed/>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3">
    <w:name w:val="endnote text"/>
    <w:basedOn w:val="1"/>
    <w:unhideWhenUsed/>
    <w:qFormat/>
    <w:uiPriority w:val="0"/>
    <w:pPr>
      <w:snapToGrid w:val="0"/>
      <w:jc w:val="left"/>
    </w:pPr>
  </w:style>
  <w:style w:type="paragraph" w:styleId="4">
    <w:name w:val="Balloon Text"/>
    <w:basedOn w:val="1"/>
    <w:link w:val="20"/>
    <w:qFormat/>
    <w:uiPriority w:val="99"/>
    <w:rPr>
      <w:sz w:val="18"/>
      <w:szCs w:val="18"/>
    </w:rPr>
  </w:style>
  <w:style w:type="paragraph" w:styleId="5">
    <w:name w:val="footer"/>
    <w:basedOn w:val="1"/>
    <w:link w:val="21"/>
    <w:qFormat/>
    <w:uiPriority w:val="99"/>
    <w:pPr>
      <w:tabs>
        <w:tab w:val="center" w:pos="4153"/>
        <w:tab w:val="right" w:pos="8306"/>
      </w:tabs>
      <w:snapToGrid w:val="0"/>
      <w:jc w:val="left"/>
    </w:pPr>
    <w:rPr>
      <w:sz w:val="18"/>
      <w:szCs w:val="18"/>
    </w:rPr>
  </w:style>
  <w:style w:type="paragraph" w:styleId="6">
    <w:name w:val="header"/>
    <w:basedOn w:val="1"/>
    <w:link w:val="22"/>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locked/>
    <w:uiPriority w:val="0"/>
    <w:rPr>
      <w:szCs w:val="20"/>
    </w:rPr>
  </w:style>
  <w:style w:type="paragraph" w:styleId="8">
    <w:name w:val="HTML Preformatted"/>
    <w:basedOn w:val="1"/>
    <w:link w:val="24"/>
    <w:semiHidden/>
    <w:qFormat/>
    <w:uiPriority w:val="99"/>
    <w:rPr>
      <w:rFonts w:ascii="Courier New" w:hAnsi="Courier New" w:cs="Courier New"/>
      <w:sz w:val="20"/>
      <w:szCs w:val="20"/>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0">
    <w:name w:val="Title"/>
    <w:basedOn w:val="1"/>
    <w:link w:val="23"/>
    <w:qFormat/>
    <w:uiPriority w:val="99"/>
    <w:pPr>
      <w:widowControl/>
      <w:jc w:val="center"/>
    </w:pPr>
    <w:rPr>
      <w:rFonts w:ascii="Bookman Old Style" w:hAnsi="Bookman Old Style"/>
      <w:b/>
      <w:color w:val="663300"/>
      <w:sz w:val="30"/>
      <w:szCs w:val="21"/>
      <w:u w:val="single"/>
    </w:rPr>
  </w:style>
  <w:style w:type="table" w:styleId="12">
    <w:name w:val="Table Grid"/>
    <w:basedOn w:val="1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styleId="14">
    <w:name w:val="Strong"/>
    <w:basedOn w:val="13"/>
    <w:qFormat/>
    <w:locked/>
    <w:uiPriority w:val="0"/>
    <w:rPr>
      <w:b/>
      <w:bCs/>
    </w:rPr>
  </w:style>
  <w:style w:type="character" w:styleId="15">
    <w:name w:val="Hyperlink"/>
    <w:qFormat/>
    <w:uiPriority w:val="99"/>
    <w:rPr>
      <w:rFonts w:cs="Times New Roman"/>
      <w:color w:val="0000FF"/>
      <w:u w:val="single"/>
    </w:rPr>
  </w:style>
  <w:style w:type="paragraph" w:customStyle="1" w:styleId="16">
    <w:name w:val="列出段落1"/>
    <w:basedOn w:val="1"/>
    <w:qFormat/>
    <w:uiPriority w:val="99"/>
    <w:pPr>
      <w:widowControl/>
      <w:spacing w:after="200" w:line="252" w:lineRule="auto"/>
      <w:ind w:left="720"/>
      <w:contextualSpacing/>
      <w:jc w:val="left"/>
    </w:pPr>
    <w:rPr>
      <w:rFonts w:ascii="Cambria" w:hAnsi="Cambria"/>
      <w:kern w:val="0"/>
      <w:sz w:val="22"/>
      <w:lang w:eastAsia="en-US"/>
    </w:rPr>
  </w:style>
  <w:style w:type="paragraph" w:customStyle="1" w:styleId="17">
    <w:name w:val="列出段落2"/>
    <w:basedOn w:val="1"/>
    <w:qFormat/>
    <w:uiPriority w:val="99"/>
    <w:pPr>
      <w:ind w:firstLine="420" w:firstLineChars="200"/>
    </w:pPr>
    <w:rPr>
      <w:rFonts w:ascii="Times New Roman" w:hAnsi="Times New Roman"/>
      <w:szCs w:val="20"/>
    </w:rPr>
  </w:style>
  <w:style w:type="paragraph" w:customStyle="1" w:styleId="18">
    <w:name w:val="列出段落3"/>
    <w:basedOn w:val="1"/>
    <w:qFormat/>
    <w:uiPriority w:val="34"/>
    <w:pPr>
      <w:ind w:firstLine="420" w:firstLineChars="200"/>
    </w:pPr>
  </w:style>
  <w:style w:type="character" w:customStyle="1" w:styleId="19">
    <w:name w:val="标题 1 Char"/>
    <w:link w:val="2"/>
    <w:qFormat/>
    <w:uiPriority w:val="9"/>
    <w:rPr>
      <w:rFonts w:ascii="Calibri" w:hAnsi="Calibri"/>
      <w:b/>
      <w:bCs/>
      <w:kern w:val="44"/>
      <w:sz w:val="44"/>
      <w:szCs w:val="44"/>
    </w:rPr>
  </w:style>
  <w:style w:type="character" w:customStyle="1" w:styleId="20">
    <w:name w:val="批注框文本 Char"/>
    <w:link w:val="4"/>
    <w:semiHidden/>
    <w:qFormat/>
    <w:locked/>
    <w:uiPriority w:val="99"/>
    <w:rPr>
      <w:rFonts w:cs="Times New Roman"/>
      <w:sz w:val="18"/>
      <w:szCs w:val="18"/>
    </w:rPr>
  </w:style>
  <w:style w:type="character" w:customStyle="1" w:styleId="21">
    <w:name w:val="页脚 Char"/>
    <w:link w:val="5"/>
    <w:semiHidden/>
    <w:qFormat/>
    <w:locked/>
    <w:uiPriority w:val="99"/>
    <w:rPr>
      <w:rFonts w:cs="Times New Roman"/>
      <w:sz w:val="18"/>
      <w:szCs w:val="18"/>
    </w:rPr>
  </w:style>
  <w:style w:type="character" w:customStyle="1" w:styleId="22">
    <w:name w:val="页眉 Char"/>
    <w:link w:val="6"/>
    <w:semiHidden/>
    <w:qFormat/>
    <w:locked/>
    <w:uiPriority w:val="99"/>
    <w:rPr>
      <w:rFonts w:cs="Times New Roman"/>
      <w:sz w:val="18"/>
      <w:szCs w:val="18"/>
    </w:rPr>
  </w:style>
  <w:style w:type="character" w:customStyle="1" w:styleId="23">
    <w:name w:val="标题 Char"/>
    <w:link w:val="10"/>
    <w:qFormat/>
    <w:locked/>
    <w:uiPriority w:val="99"/>
    <w:rPr>
      <w:rFonts w:ascii="Bookman Old Style" w:hAnsi="Bookman Old Style" w:eastAsia="宋体" w:cs="Times New Roman"/>
      <w:b/>
      <w:color w:val="663300"/>
      <w:sz w:val="21"/>
      <w:szCs w:val="21"/>
      <w:u w:val="single"/>
    </w:rPr>
  </w:style>
  <w:style w:type="character" w:customStyle="1" w:styleId="24">
    <w:name w:val="HTML 预设格式 Char"/>
    <w:link w:val="8"/>
    <w:semiHidden/>
    <w:qFormat/>
    <w:locked/>
    <w:uiPriority w:val="99"/>
    <w:rPr>
      <w:rFonts w:ascii="Courier New" w:hAnsi="Courier New" w:cs="Courier New"/>
      <w:kern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17</Pages>
  <Words>1611</Words>
  <Characters>9186</Characters>
  <Lines>76</Lines>
  <Paragraphs>21</Paragraphs>
  <TotalTime>4</TotalTime>
  <ScaleCrop>false</ScaleCrop>
  <LinksUpToDate>false</LinksUpToDate>
  <CharactersWithSpaces>10776</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2019-04-19T05:56:00Z</dcterms:created>
  <dc:creator>Administrator</dc:creator>
  <cp:lastModifiedBy>12：00</cp:lastModifiedBy>
  <dcterms:modified xsi:type="dcterms:W3CDTF">2019-05-09T03:16:01Z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